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83F30" w14:textId="3508F5FE" w:rsidR="00CA5B38" w:rsidRDefault="00FE1422" w:rsidP="00624A16">
      <w:pPr>
        <w:rPr>
          <w:b/>
          <w:bCs/>
          <w:sz w:val="28"/>
          <w:szCs w:val="28"/>
        </w:rPr>
      </w:pPr>
      <w:r>
        <w:rPr>
          <w:b/>
          <w:bCs/>
          <w:sz w:val="28"/>
          <w:szCs w:val="28"/>
        </w:rPr>
        <w:t xml:space="preserve"> </w:t>
      </w:r>
    </w:p>
    <w:p w14:paraId="19B4FAFD" w14:textId="77777777" w:rsidR="00CA5B38" w:rsidRDefault="00CA5B38" w:rsidP="00624A16">
      <w:pPr>
        <w:rPr>
          <w:b/>
          <w:bCs/>
          <w:sz w:val="28"/>
          <w:szCs w:val="28"/>
        </w:rPr>
      </w:pPr>
    </w:p>
    <w:p w14:paraId="3C5A1B90" w14:textId="65351BAA" w:rsidR="00624A16" w:rsidRPr="008D050F" w:rsidRDefault="00947A25" w:rsidP="005C3F9D">
      <w:pPr>
        <w:jc w:val="center"/>
        <w:rPr>
          <w:b/>
          <w:bCs/>
          <w:sz w:val="32"/>
          <w:szCs w:val="32"/>
        </w:rPr>
      </w:pPr>
      <w:r w:rsidRPr="00947A25">
        <w:rPr>
          <w:b/>
          <w:bCs/>
          <w:sz w:val="32"/>
          <w:szCs w:val="32"/>
        </w:rPr>
        <w:t xml:space="preserve">B&amp;C Legal </w:t>
      </w:r>
      <w:r w:rsidR="00345CAE">
        <w:rPr>
          <w:b/>
          <w:bCs/>
          <w:sz w:val="32"/>
          <w:szCs w:val="32"/>
        </w:rPr>
        <w:t>and Compliance</w:t>
      </w:r>
      <w:r w:rsidR="00FE1422">
        <w:rPr>
          <w:b/>
          <w:bCs/>
          <w:sz w:val="32"/>
          <w:szCs w:val="32"/>
        </w:rPr>
        <w:t xml:space="preserve"> </w:t>
      </w:r>
      <w:r w:rsidR="00345CAE">
        <w:rPr>
          <w:b/>
          <w:bCs/>
          <w:sz w:val="32"/>
          <w:szCs w:val="32"/>
        </w:rPr>
        <w:t>con</w:t>
      </w:r>
      <w:r w:rsidR="009B1D8E">
        <w:rPr>
          <w:b/>
          <w:bCs/>
          <w:sz w:val="32"/>
          <w:szCs w:val="32"/>
        </w:rPr>
        <w:t xml:space="preserve"> The Magnet Group </w:t>
      </w:r>
      <w:r w:rsidR="00A86802">
        <w:rPr>
          <w:b/>
          <w:bCs/>
          <w:sz w:val="32"/>
          <w:szCs w:val="32"/>
        </w:rPr>
        <w:t>nell’acquisizione di</w:t>
      </w:r>
      <w:r w:rsidR="00345CAE">
        <w:rPr>
          <w:b/>
          <w:bCs/>
          <w:sz w:val="32"/>
          <w:szCs w:val="32"/>
        </w:rPr>
        <w:t xml:space="preserve"> Lindocastelli </w:t>
      </w:r>
      <w:r w:rsidR="00A86802">
        <w:rPr>
          <w:b/>
          <w:bCs/>
          <w:sz w:val="32"/>
          <w:szCs w:val="32"/>
        </w:rPr>
        <w:t>S</w:t>
      </w:r>
      <w:r w:rsidR="00345CAE">
        <w:rPr>
          <w:b/>
          <w:bCs/>
          <w:sz w:val="32"/>
          <w:szCs w:val="32"/>
        </w:rPr>
        <w:t>.r.l</w:t>
      </w:r>
      <w:r w:rsidR="00A86802">
        <w:rPr>
          <w:b/>
          <w:bCs/>
          <w:sz w:val="32"/>
          <w:szCs w:val="32"/>
        </w:rPr>
        <w:t>.</w:t>
      </w:r>
    </w:p>
    <w:p w14:paraId="403BABA0" w14:textId="06574015" w:rsidR="00D97B58" w:rsidRPr="005B4E1B" w:rsidRDefault="004518F1" w:rsidP="00CA5B38">
      <w:pPr>
        <w:jc w:val="both"/>
        <w:rPr>
          <w:i/>
          <w:iCs/>
        </w:rPr>
      </w:pPr>
      <w:r w:rsidRPr="005B4E1B">
        <w:rPr>
          <w:i/>
          <w:iCs/>
        </w:rPr>
        <w:t>B&amp;C Legal &amp; Compliance, FDL Studio Legale e Tributario, Lo Studio Legale Notaro e</w:t>
      </w:r>
      <w:r w:rsidR="002615D8" w:rsidRPr="005B4E1B">
        <w:rPr>
          <w:i/>
          <w:iCs/>
        </w:rPr>
        <w:t xml:space="preserve"> DCS &amp; Partners hanno assistito nell’operazione</w:t>
      </w:r>
    </w:p>
    <w:p w14:paraId="755E1D9D" w14:textId="77777777" w:rsidR="00AD6386" w:rsidRDefault="00AD6386" w:rsidP="00CA5B38">
      <w:pPr>
        <w:jc w:val="both"/>
        <w:rPr>
          <w:i/>
          <w:iCs/>
        </w:rPr>
      </w:pPr>
    </w:p>
    <w:p w14:paraId="29108F61" w14:textId="77777777" w:rsidR="006A14EC" w:rsidRDefault="00ED18C1" w:rsidP="006A14EC">
      <w:pPr>
        <w:jc w:val="both"/>
      </w:pPr>
      <w:r w:rsidRPr="00ED18C1">
        <w:rPr>
          <w:i/>
          <w:iCs/>
        </w:rPr>
        <w:t>Milano</w:t>
      </w:r>
      <w:r>
        <w:rPr>
          <w:i/>
          <w:iCs/>
        </w:rPr>
        <w:t>,</w:t>
      </w:r>
      <w:r w:rsidRPr="00ED18C1">
        <w:rPr>
          <w:i/>
          <w:iCs/>
        </w:rPr>
        <w:t xml:space="preserve"> </w:t>
      </w:r>
      <w:r w:rsidR="00CB0285">
        <w:rPr>
          <w:i/>
          <w:iCs/>
        </w:rPr>
        <w:t>21</w:t>
      </w:r>
      <w:r w:rsidRPr="00ED18C1">
        <w:rPr>
          <w:i/>
          <w:iCs/>
        </w:rPr>
        <w:t xml:space="preserve"> </w:t>
      </w:r>
      <w:r w:rsidR="009B1BB2">
        <w:rPr>
          <w:i/>
          <w:iCs/>
        </w:rPr>
        <w:t>marzo</w:t>
      </w:r>
      <w:r w:rsidRPr="00ED18C1">
        <w:rPr>
          <w:i/>
          <w:iCs/>
        </w:rPr>
        <w:t xml:space="preserve"> 202</w:t>
      </w:r>
      <w:r w:rsidR="001166C2">
        <w:rPr>
          <w:i/>
          <w:iCs/>
        </w:rPr>
        <w:t>2</w:t>
      </w:r>
      <w:r>
        <w:t xml:space="preserve"> –</w:t>
      </w:r>
      <w:r w:rsidR="004518F1">
        <w:t xml:space="preserve"> </w:t>
      </w:r>
      <w:r w:rsidR="006A14EC">
        <w:t xml:space="preserve">The Magnet Group, multinazionale americana prima al mondo nella produzione di magneti promozionali ed attiva nel settore della commercializzazione di agende e notebook cartacei, ha perfezionato una joint venture con la società Lindocastelli S.r.l., storica azienda manufatturiera di stampati e prodotti cartotecnici. </w:t>
      </w:r>
    </w:p>
    <w:p w14:paraId="7B594A03" w14:textId="77777777" w:rsidR="006A14EC" w:rsidRDefault="006A14EC" w:rsidP="006A14EC">
      <w:pPr>
        <w:jc w:val="both"/>
      </w:pPr>
      <w:r>
        <w:t>Lindocastelli S.r.l con sede in San Paolo D’Argon in provincia di Bergamo, è un produttore e fornitore creativo di prodotti stampati come calendari e agende per appuntamenti, quaderni e notebook per la pianificazione intelligente di alta qualità. Con i più elevati standard di qualità e una produzione all'avanguardia, Lindocastelli S.r.l. sviluppa soluzioni pubblicitarie innovative per fidelizzare i clienti e prodotti di cartotecnica per i mercati B2B e B2C.</w:t>
      </w:r>
    </w:p>
    <w:p w14:paraId="2B7943C3" w14:textId="37ECC6FA" w:rsidR="006A14EC" w:rsidRDefault="006A14EC" w:rsidP="006A14EC">
      <w:pPr>
        <w:jc w:val="both"/>
      </w:pPr>
      <w:r>
        <w:t>B&amp;C Legal con il socio Maria Adele De Luca ha assistito il gruppo The Magnet Group. Oltre allo Studio B&amp;C Legal, The Magnet Group è stata assistita da FDL Studio Legale con il socio Carlo Carta</w:t>
      </w:r>
      <w:r w:rsidR="006A3636">
        <w:t>.</w:t>
      </w:r>
      <w:r>
        <w:t xml:space="preserve"> </w:t>
      </w:r>
    </w:p>
    <w:p w14:paraId="73A0102B" w14:textId="25F80BE3" w:rsidR="00193417" w:rsidRDefault="006A14EC" w:rsidP="006A14EC">
      <w:pPr>
        <w:jc w:val="both"/>
      </w:pPr>
      <w:r>
        <w:t>Le parti venditrici uscenti sono state assistite dall’Avv. Matteo Notaro di Studio Legale Notaro mentre il management è stato assistito dall’Avv. Cesare De Carolis di DCS &amp; Partner</w:t>
      </w:r>
      <w:r w:rsidR="006A3636">
        <w:t>.</w:t>
      </w:r>
    </w:p>
    <w:p w14:paraId="38C23E7D" w14:textId="77777777" w:rsidR="00B40A5E" w:rsidRDefault="00B40A5E" w:rsidP="001166C2">
      <w:pPr>
        <w:jc w:val="both"/>
      </w:pPr>
    </w:p>
    <w:p w14:paraId="0B5BB871" w14:textId="1152F60C" w:rsidR="00490B33" w:rsidRDefault="00C01036" w:rsidP="00624A16">
      <w:r>
        <w:rPr>
          <w:noProof/>
        </w:rPr>
        <w:drawing>
          <wp:anchor distT="0" distB="0" distL="114300" distR="114300" simplePos="0" relativeHeight="251658240" behindDoc="0" locked="0" layoutInCell="1" allowOverlap="1" wp14:anchorId="3CC42469" wp14:editId="71A5D67B">
            <wp:simplePos x="0" y="0"/>
            <wp:positionH relativeFrom="column">
              <wp:posOffset>-2540</wp:posOffset>
            </wp:positionH>
            <wp:positionV relativeFrom="paragraph">
              <wp:posOffset>133350</wp:posOffset>
            </wp:positionV>
            <wp:extent cx="2692400" cy="3041650"/>
            <wp:effectExtent l="0" t="0" r="0" b="63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2400" cy="304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5D10E" w14:textId="71D8481A" w:rsidR="00DE5174" w:rsidRDefault="00C01036" w:rsidP="00C75364">
      <w:pPr>
        <w:jc w:val="right"/>
      </w:pPr>
      <w:r>
        <w:rPr>
          <w:noProof/>
        </w:rPr>
        <w:drawing>
          <wp:inline distT="0" distB="0" distL="0" distR="0" wp14:anchorId="2D886536" wp14:editId="2206466C">
            <wp:extent cx="3068325" cy="3003550"/>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078" cy="3048337"/>
                    </a:xfrm>
                    <a:prstGeom prst="rect">
                      <a:avLst/>
                    </a:prstGeom>
                    <a:noFill/>
                    <a:ln>
                      <a:noFill/>
                    </a:ln>
                  </pic:spPr>
                </pic:pic>
              </a:graphicData>
            </a:graphic>
          </wp:inline>
        </w:drawing>
      </w:r>
      <w:r>
        <w:br w:type="textWrapping" w:clear="all"/>
      </w:r>
    </w:p>
    <w:p w14:paraId="24FCF3A9" w14:textId="106ADCDE" w:rsidR="00A03219" w:rsidRDefault="00A03219" w:rsidP="00C75364">
      <w:pPr>
        <w:tabs>
          <w:tab w:val="center" w:pos="4819"/>
        </w:tabs>
        <w:rPr>
          <w:sz w:val="16"/>
          <w:szCs w:val="16"/>
        </w:rPr>
      </w:pPr>
      <w:r w:rsidRPr="00A03219">
        <w:rPr>
          <w:sz w:val="16"/>
          <w:szCs w:val="16"/>
        </w:rPr>
        <w:t>Avv. Maria Adele De Luca, Partner di B&amp;C Legal and Compliance</w:t>
      </w:r>
      <w:r w:rsidR="00C75364">
        <w:rPr>
          <w:sz w:val="16"/>
          <w:szCs w:val="16"/>
        </w:rPr>
        <w:tab/>
      </w:r>
      <w:r w:rsidR="00B40A5E">
        <w:rPr>
          <w:sz w:val="16"/>
          <w:szCs w:val="16"/>
        </w:rPr>
        <w:t xml:space="preserve">                    </w:t>
      </w:r>
      <w:r w:rsidR="00C75364">
        <w:rPr>
          <w:sz w:val="16"/>
          <w:szCs w:val="16"/>
        </w:rPr>
        <w:t>Avv. Carlo Carta</w:t>
      </w:r>
      <w:r w:rsidR="00B40A5E">
        <w:rPr>
          <w:sz w:val="16"/>
          <w:szCs w:val="16"/>
        </w:rPr>
        <w:t>, Partner di FDL Studio Legale e Tributario</w:t>
      </w:r>
    </w:p>
    <w:p w14:paraId="23B48D3C" w14:textId="77777777" w:rsidR="00133EEF" w:rsidRDefault="00133EEF" w:rsidP="00624A16">
      <w:pPr>
        <w:rPr>
          <w:sz w:val="16"/>
          <w:szCs w:val="16"/>
        </w:rPr>
      </w:pPr>
    </w:p>
    <w:p w14:paraId="3755D4D6" w14:textId="77777777" w:rsidR="00133EEF" w:rsidRPr="00A03219" w:rsidRDefault="00133EEF" w:rsidP="00624A16">
      <w:pPr>
        <w:rPr>
          <w:sz w:val="16"/>
          <w:szCs w:val="16"/>
        </w:rPr>
      </w:pPr>
    </w:p>
    <w:p w14:paraId="480EC066" w14:textId="77777777" w:rsidR="00DE5174" w:rsidRDefault="00DE5174" w:rsidP="00624A16"/>
    <w:p w14:paraId="10919344" w14:textId="77777777" w:rsidR="00DE5174" w:rsidRDefault="00DE5174" w:rsidP="00DE5174">
      <w:pPr>
        <w:autoSpaceDE w:val="0"/>
        <w:autoSpaceDN w:val="0"/>
        <w:adjustRightInd w:val="0"/>
        <w:rPr>
          <w:sz w:val="16"/>
          <w:szCs w:val="16"/>
        </w:rPr>
      </w:pPr>
      <w:r>
        <w:rPr>
          <w:sz w:val="16"/>
          <w:szCs w:val="16"/>
        </w:rPr>
        <w:t>************</w:t>
      </w:r>
    </w:p>
    <w:p w14:paraId="6C7A2D5D" w14:textId="3E0AB38A" w:rsidR="007A1ED4" w:rsidRDefault="00DE5174" w:rsidP="00E07848">
      <w:pPr>
        <w:autoSpaceDE w:val="0"/>
        <w:autoSpaceDN w:val="0"/>
        <w:adjustRightInd w:val="0"/>
        <w:jc w:val="both"/>
        <w:rPr>
          <w:rFonts w:ascii="Calibri-Bold" w:hAnsi="Calibri-Bold" w:cs="Calibri-Bold"/>
          <w:sz w:val="18"/>
          <w:szCs w:val="18"/>
        </w:rPr>
      </w:pPr>
      <w:r>
        <w:rPr>
          <w:rFonts w:ascii="Calibri-Bold" w:hAnsi="Calibri-Bold" w:cs="Calibri-Bold"/>
          <w:b/>
          <w:bCs/>
          <w:sz w:val="18"/>
          <w:szCs w:val="18"/>
        </w:rPr>
        <w:t>B&amp;C Legal and Compliance</w:t>
      </w:r>
      <w:r w:rsidR="00E07848" w:rsidRPr="00E07848">
        <w:rPr>
          <w:rFonts w:ascii="Calibri-Bold" w:hAnsi="Calibri-Bold" w:cs="Calibri-Bold"/>
          <w:sz w:val="18"/>
          <w:szCs w:val="18"/>
        </w:rPr>
        <w:t xml:space="preserve"> nasce per creare una struttura innovativa con competenze trasversali ed integrate. Lo Studio si basa sulla esperienza trentennale dei propri fondatori in molteplici settori dell’assistenza legale alle aziende, con un particolare focus sul diritto societario, corporate e M&amp;A, sulla compliance, sul diritto del lavoro e delle nuove tecnologie.</w:t>
      </w:r>
    </w:p>
    <w:p w14:paraId="7EBF4D29" w14:textId="77777777" w:rsidR="00E07848" w:rsidRDefault="00E07848" w:rsidP="00E07848">
      <w:pPr>
        <w:autoSpaceDE w:val="0"/>
        <w:autoSpaceDN w:val="0"/>
        <w:adjustRightInd w:val="0"/>
        <w:jc w:val="both"/>
      </w:pPr>
    </w:p>
    <w:p w14:paraId="43B4C087" w14:textId="56FB33A2" w:rsidR="004E193F" w:rsidRPr="004E193F" w:rsidRDefault="006928A7" w:rsidP="004E193F">
      <w:pPr>
        <w:autoSpaceDE w:val="0"/>
        <w:autoSpaceDN w:val="0"/>
        <w:adjustRightInd w:val="0"/>
        <w:jc w:val="both"/>
        <w:rPr>
          <w:sz w:val="18"/>
          <w:szCs w:val="18"/>
        </w:rPr>
      </w:pPr>
      <w:r>
        <w:rPr>
          <w:rFonts w:ascii="Calibri-Bold" w:hAnsi="Calibri-Bold" w:cs="Calibri-Bold"/>
          <w:b/>
          <w:bCs/>
          <w:sz w:val="18"/>
          <w:szCs w:val="18"/>
        </w:rPr>
        <w:t>B&amp;C Tax and Corporate</w:t>
      </w:r>
      <w:r w:rsidR="004E193F" w:rsidRPr="004E193F">
        <w:rPr>
          <w:sz w:val="18"/>
          <w:szCs w:val="18"/>
        </w:rPr>
        <w:t>, già Borioli &amp; Colombo Associati, sin dalla fondazione nel 1988, si è posto come punto di riferimento per la prestazione di servizi di carattere fiscale e societario a imprese di medie e grandi dimensioni; in particolare B&amp;C Tax si è specializzato nella consulenza in materia di imposte dirette ed IVA soprattutto per quel che concerne le relative implicazioni di carattere internazionale.</w:t>
      </w:r>
    </w:p>
    <w:p w14:paraId="37D8EAAA" w14:textId="77777777" w:rsidR="004E193F" w:rsidRPr="004E193F" w:rsidRDefault="004E193F" w:rsidP="004E193F">
      <w:pPr>
        <w:autoSpaceDE w:val="0"/>
        <w:autoSpaceDN w:val="0"/>
        <w:adjustRightInd w:val="0"/>
        <w:jc w:val="both"/>
        <w:rPr>
          <w:sz w:val="18"/>
          <w:szCs w:val="18"/>
        </w:rPr>
      </w:pPr>
      <w:r w:rsidRPr="004E193F">
        <w:rPr>
          <w:sz w:val="18"/>
          <w:szCs w:val="18"/>
        </w:rPr>
        <w:lastRenderedPageBreak/>
        <w:t>B&amp;C Tax ha uno specifico focus in materia di corporate governance e gestione degli organi sociali anche in relazione all’ampia esperienza acquisita tramite i numerosi incarichi ricoperti nell’ambito degli organi di controllo societario, di amministratori e di liquidatori indipendenti.</w:t>
      </w:r>
    </w:p>
    <w:p w14:paraId="3C768020" w14:textId="77777777" w:rsidR="004E193F" w:rsidRPr="004E193F" w:rsidRDefault="004E193F" w:rsidP="004E193F">
      <w:pPr>
        <w:autoSpaceDE w:val="0"/>
        <w:autoSpaceDN w:val="0"/>
        <w:adjustRightInd w:val="0"/>
        <w:jc w:val="both"/>
        <w:rPr>
          <w:sz w:val="18"/>
          <w:szCs w:val="18"/>
        </w:rPr>
      </w:pPr>
      <w:r w:rsidRPr="004E193F">
        <w:rPr>
          <w:sz w:val="18"/>
          <w:szCs w:val="18"/>
        </w:rPr>
        <w:t>Recentemente B&amp;C Tax ha poi sviluppato un desk di consulenza del lavoro relativa sia alla gestione delle risorse umane che alle fasi pre-contenziose.</w:t>
      </w:r>
    </w:p>
    <w:p w14:paraId="18E13F18" w14:textId="2538E1CE" w:rsidR="006928A7" w:rsidRPr="004518F1" w:rsidRDefault="004E193F" w:rsidP="004E193F">
      <w:pPr>
        <w:autoSpaceDE w:val="0"/>
        <w:autoSpaceDN w:val="0"/>
        <w:adjustRightInd w:val="0"/>
        <w:jc w:val="both"/>
        <w:rPr>
          <w:sz w:val="18"/>
          <w:szCs w:val="18"/>
          <w:lang w:val="en-US"/>
        </w:rPr>
      </w:pPr>
      <w:r w:rsidRPr="004518F1">
        <w:rPr>
          <w:sz w:val="18"/>
          <w:szCs w:val="18"/>
          <w:lang w:val="en-US"/>
        </w:rPr>
        <w:t>Dal 1993 B&amp;C Tax è independent member di BKR International, una "leading association of independent accounting and business advisory firms".</w:t>
      </w:r>
    </w:p>
    <w:p w14:paraId="1E952157" w14:textId="77777777" w:rsidR="00046032" w:rsidRPr="004518F1" w:rsidRDefault="00046032" w:rsidP="006928A7">
      <w:pPr>
        <w:autoSpaceDE w:val="0"/>
        <w:autoSpaceDN w:val="0"/>
        <w:adjustRightInd w:val="0"/>
        <w:jc w:val="both"/>
        <w:rPr>
          <w:sz w:val="18"/>
          <w:szCs w:val="18"/>
          <w:lang w:val="en-US"/>
        </w:rPr>
      </w:pPr>
    </w:p>
    <w:p w14:paraId="61FD23A5" w14:textId="143E3172" w:rsidR="004F6BAD" w:rsidRDefault="006928A7" w:rsidP="006928A7">
      <w:pPr>
        <w:rPr>
          <w:sz w:val="16"/>
          <w:szCs w:val="16"/>
        </w:rPr>
      </w:pPr>
      <w:r>
        <w:rPr>
          <w:sz w:val="16"/>
          <w:szCs w:val="16"/>
        </w:rPr>
        <w:t>************</w:t>
      </w:r>
    </w:p>
    <w:p w14:paraId="0C9FF0B9" w14:textId="77777777" w:rsidR="006D53A3" w:rsidRDefault="006D53A3" w:rsidP="006D53A3">
      <w:pPr>
        <w:rPr>
          <w:sz w:val="16"/>
          <w:szCs w:val="16"/>
        </w:rPr>
      </w:pPr>
    </w:p>
    <w:p w14:paraId="08370504" w14:textId="77777777" w:rsidR="006D53A3" w:rsidRDefault="006D53A3" w:rsidP="006D53A3">
      <w:pPr>
        <w:rPr>
          <w:sz w:val="16"/>
          <w:szCs w:val="16"/>
        </w:rPr>
      </w:pPr>
    </w:p>
    <w:p w14:paraId="4B3C327C" w14:textId="77777777" w:rsidR="006D53A3" w:rsidRPr="006D53A3" w:rsidRDefault="006D53A3" w:rsidP="006D53A3">
      <w:pPr>
        <w:spacing w:after="160" w:line="259" w:lineRule="auto"/>
        <w:rPr>
          <w:rFonts w:asciiTheme="minorHAnsi" w:hAnsiTheme="minorHAnsi" w:cstheme="minorBidi"/>
        </w:rPr>
      </w:pPr>
    </w:p>
    <w:p w14:paraId="5F6989D3" w14:textId="77777777" w:rsidR="006D53A3" w:rsidRPr="006D53A3" w:rsidRDefault="006D53A3" w:rsidP="006D53A3">
      <w:pPr>
        <w:spacing w:after="120" w:line="259" w:lineRule="auto"/>
        <w:jc w:val="center"/>
        <w:rPr>
          <w:rFonts w:eastAsia="Cambria" w:cstheme="minorBidi"/>
          <w:b/>
          <w:sz w:val="20"/>
          <w:szCs w:val="18"/>
        </w:rPr>
      </w:pPr>
      <w:r w:rsidRPr="006D53A3">
        <w:rPr>
          <w:rFonts w:eastAsia="Cambria" w:cstheme="minorBidi"/>
          <w:b/>
          <w:sz w:val="20"/>
          <w:szCs w:val="18"/>
        </w:rPr>
        <w:t>PER MAGGIORI INFORMAZIONI / FOR MORE INFORMATION</w:t>
      </w:r>
    </w:p>
    <w:tbl>
      <w:tblPr>
        <w:tblW w:w="0" w:type="auto"/>
        <w:tblLook w:val="00A0" w:firstRow="1" w:lastRow="0" w:firstColumn="1" w:lastColumn="0" w:noHBand="0" w:noVBand="0"/>
      </w:tblPr>
      <w:tblGrid>
        <w:gridCol w:w="4853"/>
        <w:gridCol w:w="4785"/>
      </w:tblGrid>
      <w:tr w:rsidR="006D53A3" w:rsidRPr="004518F1" w14:paraId="77FF875D" w14:textId="77777777" w:rsidTr="00531C30">
        <w:tc>
          <w:tcPr>
            <w:tcW w:w="4889" w:type="dxa"/>
          </w:tcPr>
          <w:p w14:paraId="6ED94821" w14:textId="77777777" w:rsidR="006D53A3" w:rsidRPr="006D53A3" w:rsidRDefault="006D53A3" w:rsidP="006D53A3">
            <w:pPr>
              <w:widowControl w:val="0"/>
              <w:autoSpaceDE w:val="0"/>
              <w:autoSpaceDN w:val="0"/>
              <w:adjustRightInd w:val="0"/>
              <w:spacing w:after="40"/>
              <w:ind w:left="34"/>
              <w:textAlignment w:val="center"/>
              <w:rPr>
                <w:rFonts w:eastAsia="MS Mincho" w:cs="Times New Roman"/>
                <w:color w:val="272727"/>
                <w:sz w:val="20"/>
                <w:szCs w:val="24"/>
                <w:lang w:eastAsia="it-IT"/>
              </w:rPr>
            </w:pPr>
            <w:r w:rsidRPr="006D53A3">
              <w:rPr>
                <w:rFonts w:eastAsia="MS Mincho" w:cs="Times New Roman"/>
                <w:color w:val="272727"/>
                <w:sz w:val="20"/>
                <w:szCs w:val="24"/>
                <w:lang w:eastAsia="it-IT"/>
              </w:rPr>
              <w:t>Ambrogio Visconti, Partner</w:t>
            </w:r>
          </w:p>
          <w:p w14:paraId="20B10A15" w14:textId="77777777" w:rsidR="006D53A3" w:rsidRPr="006D53A3" w:rsidRDefault="006D53A3" w:rsidP="006D53A3">
            <w:pPr>
              <w:widowControl w:val="0"/>
              <w:autoSpaceDE w:val="0"/>
              <w:autoSpaceDN w:val="0"/>
              <w:adjustRightInd w:val="0"/>
              <w:spacing w:after="40"/>
              <w:ind w:left="34"/>
              <w:textAlignment w:val="center"/>
              <w:rPr>
                <w:rFonts w:eastAsia="MS Mincho" w:cs="Times New Roman"/>
                <w:color w:val="272727"/>
                <w:sz w:val="20"/>
                <w:szCs w:val="24"/>
                <w:lang w:eastAsia="it-IT"/>
              </w:rPr>
            </w:pPr>
            <w:r w:rsidRPr="006D53A3">
              <w:rPr>
                <w:rFonts w:eastAsia="MS Mincho" w:cs="Times New Roman"/>
                <w:color w:val="272727"/>
                <w:sz w:val="20"/>
                <w:szCs w:val="24"/>
                <w:lang w:eastAsia="it-IT"/>
              </w:rPr>
              <w:t>PBV &amp; Partners Srl</w:t>
            </w:r>
          </w:p>
          <w:p w14:paraId="42DC9747" w14:textId="77777777" w:rsidR="006D53A3" w:rsidRPr="006D53A3" w:rsidRDefault="006D53A3" w:rsidP="006D53A3">
            <w:pPr>
              <w:widowControl w:val="0"/>
              <w:autoSpaceDE w:val="0"/>
              <w:autoSpaceDN w:val="0"/>
              <w:adjustRightInd w:val="0"/>
              <w:spacing w:after="40"/>
              <w:ind w:left="34"/>
              <w:textAlignment w:val="center"/>
              <w:rPr>
                <w:rFonts w:eastAsia="MS Mincho" w:cs="Times New Roman"/>
                <w:color w:val="272727"/>
                <w:sz w:val="20"/>
                <w:szCs w:val="24"/>
                <w:lang w:val="de-DE" w:eastAsia="it-IT"/>
              </w:rPr>
            </w:pPr>
            <w:r w:rsidRPr="006D53A3">
              <w:rPr>
                <w:rFonts w:eastAsia="MS Mincho" w:cs="Times New Roman"/>
                <w:color w:val="272727"/>
                <w:sz w:val="20"/>
                <w:szCs w:val="24"/>
                <w:lang w:val="de-DE" w:eastAsia="it-IT"/>
              </w:rPr>
              <w:t>ambrogio.visconti@pbvpartners.com</w:t>
            </w:r>
          </w:p>
          <w:p w14:paraId="23A45BDB" w14:textId="77777777" w:rsidR="006D53A3" w:rsidRPr="006D53A3" w:rsidRDefault="006D53A3" w:rsidP="006D53A3">
            <w:pPr>
              <w:widowControl w:val="0"/>
              <w:autoSpaceDE w:val="0"/>
              <w:autoSpaceDN w:val="0"/>
              <w:adjustRightInd w:val="0"/>
              <w:spacing w:after="40"/>
              <w:ind w:left="34"/>
              <w:textAlignment w:val="center"/>
              <w:rPr>
                <w:rFonts w:eastAsia="MS Mincho" w:cs="Times New Roman"/>
                <w:color w:val="272727"/>
                <w:sz w:val="20"/>
                <w:szCs w:val="24"/>
                <w:lang w:val="de-DE" w:eastAsia="it-IT"/>
              </w:rPr>
            </w:pPr>
            <w:r w:rsidRPr="006D53A3">
              <w:rPr>
                <w:rFonts w:eastAsia="MS Mincho" w:cs="Times New Roman"/>
                <w:color w:val="272727"/>
                <w:sz w:val="20"/>
                <w:szCs w:val="24"/>
                <w:lang w:val="de-DE" w:eastAsia="it-IT"/>
              </w:rPr>
              <w:t xml:space="preserve">Mob +39 3386728934   </w:t>
            </w:r>
            <w:r w:rsidRPr="006D53A3">
              <w:rPr>
                <w:rFonts w:eastAsia="Cambria" w:cs="MinionPro-Regular"/>
                <w:color w:val="272727"/>
                <w:sz w:val="20"/>
                <w:szCs w:val="24"/>
                <w:lang w:val="de-DE" w:eastAsia="it-IT"/>
              </w:rPr>
              <w:t>Tel +39 0332.700542</w:t>
            </w:r>
          </w:p>
        </w:tc>
        <w:tc>
          <w:tcPr>
            <w:tcW w:w="4889" w:type="dxa"/>
          </w:tcPr>
          <w:p w14:paraId="7364AAF6" w14:textId="77777777" w:rsidR="006D53A3" w:rsidRPr="006D53A3" w:rsidRDefault="006D53A3" w:rsidP="006D53A3">
            <w:pPr>
              <w:widowControl w:val="0"/>
              <w:autoSpaceDE w:val="0"/>
              <w:autoSpaceDN w:val="0"/>
              <w:adjustRightInd w:val="0"/>
              <w:spacing w:after="40"/>
              <w:textAlignment w:val="center"/>
              <w:rPr>
                <w:rFonts w:eastAsia="MS Mincho" w:cs="Times New Roman"/>
                <w:b/>
                <w:color w:val="272727"/>
                <w:sz w:val="20"/>
                <w:szCs w:val="24"/>
                <w:lang w:val="de-DE" w:eastAsia="it-IT"/>
              </w:rPr>
            </w:pPr>
          </w:p>
        </w:tc>
      </w:tr>
    </w:tbl>
    <w:p w14:paraId="344B0F7B" w14:textId="77777777" w:rsidR="006D53A3" w:rsidRDefault="006D53A3" w:rsidP="006D53A3">
      <w:pPr>
        <w:rPr>
          <w:lang w:val="de-DE"/>
        </w:rPr>
      </w:pPr>
    </w:p>
    <w:p w14:paraId="0274B58B" w14:textId="77777777" w:rsidR="004D79D7" w:rsidRPr="004D79D7" w:rsidRDefault="004D79D7" w:rsidP="004D79D7">
      <w:pPr>
        <w:rPr>
          <w:lang w:val="de-DE"/>
        </w:rPr>
      </w:pPr>
    </w:p>
    <w:p w14:paraId="1131DB35" w14:textId="264F333D" w:rsidR="004D79D7" w:rsidRDefault="007B1E2C" w:rsidP="004D79D7">
      <w:pPr>
        <w:rPr>
          <w:lang w:val="de-DE"/>
        </w:rPr>
      </w:pPr>
      <w:r>
        <w:rPr>
          <w:lang w:val="de-DE"/>
        </w:rPr>
        <w:t>----------------</w:t>
      </w:r>
      <w:r w:rsidR="00446901">
        <w:rPr>
          <w:lang w:val="de-DE"/>
        </w:rPr>
        <w:t>------------</w:t>
      </w:r>
    </w:p>
    <w:p w14:paraId="366CBA25" w14:textId="38CCD88D" w:rsidR="007B1E2C" w:rsidRDefault="007B1E2C" w:rsidP="004D79D7">
      <w:pPr>
        <w:rPr>
          <w:lang w:val="de-DE"/>
        </w:rPr>
      </w:pPr>
      <w:r>
        <w:rPr>
          <w:lang w:val="de-DE"/>
        </w:rPr>
        <w:t>ENG</w:t>
      </w:r>
    </w:p>
    <w:p w14:paraId="7E307BE5" w14:textId="77777777" w:rsidR="007B1E2C" w:rsidRPr="004D79D7" w:rsidRDefault="007B1E2C" w:rsidP="004D79D7">
      <w:pPr>
        <w:rPr>
          <w:lang w:val="de-DE"/>
        </w:rPr>
      </w:pPr>
    </w:p>
    <w:p w14:paraId="347E4DFF" w14:textId="77777777" w:rsidR="004D79D7" w:rsidRPr="004D79D7" w:rsidRDefault="004D79D7" w:rsidP="004D79D7">
      <w:pPr>
        <w:rPr>
          <w:lang w:val="de-DE"/>
        </w:rPr>
      </w:pPr>
    </w:p>
    <w:p w14:paraId="43BE71F1" w14:textId="77777777" w:rsidR="007B1E2C" w:rsidRDefault="007B1E2C" w:rsidP="007B1E2C">
      <w:pPr>
        <w:jc w:val="center"/>
        <w:rPr>
          <w:b/>
          <w:bCs/>
          <w:lang w:val="de-DE"/>
        </w:rPr>
      </w:pPr>
      <w:r w:rsidRPr="007B1E2C">
        <w:rPr>
          <w:b/>
          <w:bCs/>
          <w:lang w:val="de-DE"/>
        </w:rPr>
        <w:t>B&amp;C Legal and Compliance with The Magnet Group in the acquisition of Lindocastelli S.r.l.</w:t>
      </w:r>
    </w:p>
    <w:p w14:paraId="34F0A458" w14:textId="77777777" w:rsidR="007B1E2C" w:rsidRPr="007B1E2C" w:rsidRDefault="007B1E2C" w:rsidP="007B1E2C">
      <w:pPr>
        <w:jc w:val="center"/>
        <w:rPr>
          <w:b/>
          <w:bCs/>
          <w:lang w:val="de-DE"/>
        </w:rPr>
      </w:pPr>
    </w:p>
    <w:p w14:paraId="78BF0E1F" w14:textId="1073120F" w:rsidR="004D79D7" w:rsidRPr="007B1E2C" w:rsidRDefault="007B1E2C" w:rsidP="007B1E2C">
      <w:pPr>
        <w:jc w:val="center"/>
        <w:rPr>
          <w:i/>
          <w:iCs/>
          <w:lang w:val="de-DE"/>
        </w:rPr>
      </w:pPr>
      <w:r w:rsidRPr="007B1E2C">
        <w:rPr>
          <w:i/>
          <w:iCs/>
          <w:lang w:val="de-DE"/>
        </w:rPr>
        <w:t>B&amp;C Legal &amp; Compliance, FDL Studio Legale e Tributario, Studio Legale Notaro and DCS &amp; Partners assisted in the transaction</w:t>
      </w:r>
    </w:p>
    <w:p w14:paraId="59D3F334" w14:textId="77777777" w:rsidR="004D79D7" w:rsidRDefault="004D79D7" w:rsidP="004D79D7">
      <w:pPr>
        <w:rPr>
          <w:lang w:val="de-DE"/>
        </w:rPr>
      </w:pPr>
    </w:p>
    <w:p w14:paraId="4A379BF0" w14:textId="77777777" w:rsidR="006A3636" w:rsidRPr="006A3636" w:rsidRDefault="004D79D7" w:rsidP="006A3636">
      <w:pPr>
        <w:rPr>
          <w:rFonts w:eastAsia="Calibri"/>
          <w:lang w:eastAsia="it-IT"/>
        </w:rPr>
      </w:pPr>
      <w:r w:rsidRPr="004D79D7">
        <w:rPr>
          <w:rFonts w:eastAsia="Calibri"/>
          <w:i/>
          <w:iCs/>
          <w:lang w:eastAsia="it-IT"/>
        </w:rPr>
        <w:t xml:space="preserve">Milan, </w:t>
      </w:r>
      <w:r w:rsidR="00CB0285">
        <w:rPr>
          <w:rFonts w:eastAsia="Calibri"/>
          <w:i/>
          <w:iCs/>
          <w:lang w:eastAsia="it-IT"/>
        </w:rPr>
        <w:t>21st</w:t>
      </w:r>
      <w:r w:rsidRPr="004D79D7">
        <w:rPr>
          <w:rFonts w:eastAsia="Calibri"/>
          <w:i/>
          <w:iCs/>
          <w:lang w:eastAsia="it-IT"/>
        </w:rPr>
        <w:t xml:space="preserve"> March 2022</w:t>
      </w:r>
      <w:r w:rsidRPr="004D79D7">
        <w:rPr>
          <w:rFonts w:eastAsia="Calibri"/>
          <w:lang w:eastAsia="it-IT"/>
        </w:rPr>
        <w:t xml:space="preserve"> - </w:t>
      </w:r>
      <w:r w:rsidR="006A3636" w:rsidRPr="006A3636">
        <w:rPr>
          <w:rFonts w:eastAsia="Calibri"/>
          <w:lang w:eastAsia="it-IT"/>
        </w:rPr>
        <w:t>The Magnet Group, a US multinational corporation world’s leader in manufacturing of promotional magnets and distribution of paper diaries and notebooks, finalised a joint venture with Lindocastelli S.r.l., Italian historic manufacturer of printed and cardboard products.</w:t>
      </w:r>
    </w:p>
    <w:p w14:paraId="52662532" w14:textId="77777777" w:rsidR="006A3636" w:rsidRPr="006A3636" w:rsidRDefault="006A3636" w:rsidP="006A3636">
      <w:pPr>
        <w:rPr>
          <w:rFonts w:eastAsia="Calibri"/>
          <w:lang w:eastAsia="it-IT"/>
        </w:rPr>
      </w:pPr>
      <w:r w:rsidRPr="006A3636">
        <w:rPr>
          <w:rFonts w:eastAsia="Calibri"/>
          <w:lang w:eastAsia="it-IT"/>
        </w:rPr>
        <w:t>Lindocastelli S.r.l., based in San Paolo D'Argon, Bergamo (Italy), is a manufacturer and creative supplier of high-quality printed products such as calendars and appointment books, diaries, and notebooks for intelligent planning. With the highest quality standards and state-of-the-art production, Lindocastelli keeps on developing innovative advertising solutions for customer fidelity and printed products for B2B and B2C markets.</w:t>
      </w:r>
    </w:p>
    <w:p w14:paraId="33ADD54B" w14:textId="77777777" w:rsidR="006A3636" w:rsidRPr="006A3636" w:rsidRDefault="006A3636" w:rsidP="006A3636">
      <w:pPr>
        <w:rPr>
          <w:rFonts w:eastAsia="Calibri"/>
          <w:lang w:eastAsia="it-IT"/>
        </w:rPr>
      </w:pPr>
      <w:r w:rsidRPr="006A3636">
        <w:rPr>
          <w:rFonts w:eastAsia="Calibri"/>
          <w:lang w:eastAsia="it-IT"/>
        </w:rPr>
        <w:t xml:space="preserve">B&amp;C Legal with partner Mrs. Maria Adele De Luca assisted The Magnet Group. In addition to B&amp;C Legal, The Magnet Group was assisted by FDL Studio Legale with partner Mr. Carlo Carta. </w:t>
      </w:r>
    </w:p>
    <w:p w14:paraId="4BB385AE" w14:textId="2EDC67D4" w:rsidR="004D79D7" w:rsidRPr="004D79D7" w:rsidRDefault="006A3636" w:rsidP="006A3636">
      <w:pPr>
        <w:rPr>
          <w:rFonts w:eastAsia="Calibri"/>
          <w:lang w:eastAsia="it-IT"/>
        </w:rPr>
      </w:pPr>
      <w:r w:rsidRPr="006A3636">
        <w:rPr>
          <w:rFonts w:eastAsia="Calibri"/>
          <w:lang w:eastAsia="it-IT"/>
        </w:rPr>
        <w:t>The sellers were assisted by Mr. Matteo Notaro of Studio Legale Notaro and the management was assisted by Mr. Cesare De Carolis of DCS &amp; Partner.</w:t>
      </w:r>
    </w:p>
    <w:p w14:paraId="536378FD" w14:textId="77777777" w:rsidR="004D79D7" w:rsidRPr="004D79D7" w:rsidRDefault="004D79D7" w:rsidP="004D79D7">
      <w:pPr>
        <w:rPr>
          <w:lang w:val="de-DE"/>
        </w:rPr>
      </w:pPr>
    </w:p>
    <w:sectPr w:rsidR="004D79D7" w:rsidRPr="004D79D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F13A" w14:textId="77777777" w:rsidR="00247121" w:rsidRDefault="00247121" w:rsidP="00626124">
      <w:r>
        <w:separator/>
      </w:r>
    </w:p>
  </w:endnote>
  <w:endnote w:type="continuationSeparator" w:id="0">
    <w:p w14:paraId="78C97170" w14:textId="77777777" w:rsidR="00247121" w:rsidRDefault="00247121" w:rsidP="0062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1BB8" w14:textId="77777777" w:rsidR="00247121" w:rsidRDefault="00247121" w:rsidP="00626124">
      <w:r>
        <w:separator/>
      </w:r>
    </w:p>
  </w:footnote>
  <w:footnote w:type="continuationSeparator" w:id="0">
    <w:p w14:paraId="3D306DD5" w14:textId="77777777" w:rsidR="00247121" w:rsidRDefault="00247121" w:rsidP="0062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B5AB" w14:textId="7139309F" w:rsidR="00626124" w:rsidRDefault="005967E7" w:rsidP="005967E7">
    <w:pPr>
      <w:pStyle w:val="Intestazione"/>
    </w:pPr>
    <w:r>
      <w:rPr>
        <w:noProof/>
      </w:rPr>
      <w:drawing>
        <wp:inline distT="0" distB="0" distL="0" distR="0" wp14:anchorId="0675F1F1" wp14:editId="419D5EFA">
          <wp:extent cx="1581150" cy="4603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551" cy="470933"/>
                  </a:xfrm>
                  <a:prstGeom prst="rect">
                    <a:avLst/>
                  </a:prstGeom>
                  <a:noFill/>
                  <a:ln>
                    <a:noFill/>
                  </a:ln>
                </pic:spPr>
              </pic:pic>
            </a:graphicData>
          </a:graphic>
        </wp:inline>
      </w:drawing>
    </w:r>
    <w:r>
      <w:t xml:space="preserve">                                                                                           </w:t>
    </w:r>
    <w:r>
      <w:rPr>
        <w:noProof/>
      </w:rPr>
      <w:drawing>
        <wp:inline distT="0" distB="0" distL="0" distR="0" wp14:anchorId="51C91CEE" wp14:editId="4AC0A5F7">
          <wp:extent cx="1485900" cy="4699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469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16"/>
    <w:rsid w:val="00046032"/>
    <w:rsid w:val="000F739B"/>
    <w:rsid w:val="001166C2"/>
    <w:rsid w:val="00133EEF"/>
    <w:rsid w:val="00193417"/>
    <w:rsid w:val="002116FC"/>
    <w:rsid w:val="00227D15"/>
    <w:rsid w:val="00247121"/>
    <w:rsid w:val="002615D8"/>
    <w:rsid w:val="00334A5C"/>
    <w:rsid w:val="003442D4"/>
    <w:rsid w:val="00345CAE"/>
    <w:rsid w:val="00350EAF"/>
    <w:rsid w:val="003C3A9A"/>
    <w:rsid w:val="00446901"/>
    <w:rsid w:val="004518F1"/>
    <w:rsid w:val="004574E3"/>
    <w:rsid w:val="00490B33"/>
    <w:rsid w:val="004D79D7"/>
    <w:rsid w:val="004E193F"/>
    <w:rsid w:val="004F6BAD"/>
    <w:rsid w:val="00525FD8"/>
    <w:rsid w:val="0053386A"/>
    <w:rsid w:val="005967E7"/>
    <w:rsid w:val="005A2DF5"/>
    <w:rsid w:val="005B4E1B"/>
    <w:rsid w:val="005C3F9D"/>
    <w:rsid w:val="006176AB"/>
    <w:rsid w:val="00624A16"/>
    <w:rsid w:val="00626124"/>
    <w:rsid w:val="006656C1"/>
    <w:rsid w:val="006928A7"/>
    <w:rsid w:val="006A14EC"/>
    <w:rsid w:val="006A3636"/>
    <w:rsid w:val="006B7BF0"/>
    <w:rsid w:val="006D53A3"/>
    <w:rsid w:val="006E764E"/>
    <w:rsid w:val="007123AF"/>
    <w:rsid w:val="00743C88"/>
    <w:rsid w:val="0075155D"/>
    <w:rsid w:val="00766067"/>
    <w:rsid w:val="00787033"/>
    <w:rsid w:val="007A1ED4"/>
    <w:rsid w:val="007B1E2C"/>
    <w:rsid w:val="007C5AFF"/>
    <w:rsid w:val="007C725C"/>
    <w:rsid w:val="00820EF5"/>
    <w:rsid w:val="008451A3"/>
    <w:rsid w:val="00853E68"/>
    <w:rsid w:val="00854279"/>
    <w:rsid w:val="0085689B"/>
    <w:rsid w:val="008D050F"/>
    <w:rsid w:val="00947749"/>
    <w:rsid w:val="00947A25"/>
    <w:rsid w:val="00955488"/>
    <w:rsid w:val="00975C91"/>
    <w:rsid w:val="009B1BB2"/>
    <w:rsid w:val="009B1D8E"/>
    <w:rsid w:val="00A03219"/>
    <w:rsid w:val="00A655B7"/>
    <w:rsid w:val="00A71B18"/>
    <w:rsid w:val="00A86802"/>
    <w:rsid w:val="00AD6386"/>
    <w:rsid w:val="00AD746C"/>
    <w:rsid w:val="00B21BF6"/>
    <w:rsid w:val="00B40A5E"/>
    <w:rsid w:val="00BA767C"/>
    <w:rsid w:val="00BC3486"/>
    <w:rsid w:val="00BC7997"/>
    <w:rsid w:val="00BF5B64"/>
    <w:rsid w:val="00C01036"/>
    <w:rsid w:val="00C44E62"/>
    <w:rsid w:val="00C75364"/>
    <w:rsid w:val="00C807E4"/>
    <w:rsid w:val="00CA5B38"/>
    <w:rsid w:val="00CB0285"/>
    <w:rsid w:val="00D23B6E"/>
    <w:rsid w:val="00D5149F"/>
    <w:rsid w:val="00D561BA"/>
    <w:rsid w:val="00D64CD1"/>
    <w:rsid w:val="00D97B58"/>
    <w:rsid w:val="00DE5174"/>
    <w:rsid w:val="00DF3749"/>
    <w:rsid w:val="00E07848"/>
    <w:rsid w:val="00E162E1"/>
    <w:rsid w:val="00E562E0"/>
    <w:rsid w:val="00E94BBD"/>
    <w:rsid w:val="00ED04DC"/>
    <w:rsid w:val="00ED18C1"/>
    <w:rsid w:val="00F51A10"/>
    <w:rsid w:val="00FE142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7F34"/>
  <w15:chartTrackingRefBased/>
  <w15:docId w15:val="{ADB69FE0-72D9-4FE7-8A85-B9EB30BD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A16"/>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6124"/>
    <w:pPr>
      <w:tabs>
        <w:tab w:val="center" w:pos="4819"/>
        <w:tab w:val="right" w:pos="9638"/>
      </w:tabs>
    </w:pPr>
  </w:style>
  <w:style w:type="character" w:customStyle="1" w:styleId="IntestazioneCarattere">
    <w:name w:val="Intestazione Carattere"/>
    <w:basedOn w:val="Carpredefinitoparagrafo"/>
    <w:link w:val="Intestazione"/>
    <w:uiPriority w:val="99"/>
    <w:rsid w:val="00626124"/>
    <w:rPr>
      <w:rFonts w:ascii="Calibri" w:hAnsi="Calibri" w:cs="Calibri"/>
    </w:rPr>
  </w:style>
  <w:style w:type="paragraph" w:styleId="Pidipagina">
    <w:name w:val="footer"/>
    <w:basedOn w:val="Normale"/>
    <w:link w:val="PidipaginaCarattere"/>
    <w:uiPriority w:val="99"/>
    <w:unhideWhenUsed/>
    <w:rsid w:val="00626124"/>
    <w:pPr>
      <w:tabs>
        <w:tab w:val="center" w:pos="4819"/>
        <w:tab w:val="right" w:pos="9638"/>
      </w:tabs>
    </w:pPr>
  </w:style>
  <w:style w:type="character" w:customStyle="1" w:styleId="PidipaginaCarattere">
    <w:name w:val="Piè di pagina Carattere"/>
    <w:basedOn w:val="Carpredefinitoparagrafo"/>
    <w:link w:val="Pidipagina"/>
    <w:uiPriority w:val="99"/>
    <w:rsid w:val="00626124"/>
    <w:rPr>
      <w:rFonts w:ascii="Calibri" w:hAnsi="Calibri" w:cs="Calibri"/>
    </w:rPr>
  </w:style>
  <w:style w:type="paragraph" w:styleId="Revisione">
    <w:name w:val="Revision"/>
    <w:hidden/>
    <w:uiPriority w:val="99"/>
    <w:semiHidden/>
    <w:rsid w:val="004518F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99221">
      <w:bodyDiv w:val="1"/>
      <w:marLeft w:val="0"/>
      <w:marRight w:val="0"/>
      <w:marTop w:val="0"/>
      <w:marBottom w:val="0"/>
      <w:divBdr>
        <w:top w:val="none" w:sz="0" w:space="0" w:color="auto"/>
        <w:left w:val="none" w:sz="0" w:space="0" w:color="auto"/>
        <w:bottom w:val="none" w:sz="0" w:space="0" w:color="auto"/>
        <w:right w:val="none" w:sz="0" w:space="0" w:color="auto"/>
      </w:divBdr>
    </w:div>
    <w:div w:id="148932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83383CBD245B442AC20B9E832D35FBB" ma:contentTypeVersion="13" ma:contentTypeDescription="Creare un nuovo documento." ma:contentTypeScope="" ma:versionID="2115311f7dee3e62d15b579f5c27d133">
  <xsd:schema xmlns:xsd="http://www.w3.org/2001/XMLSchema" xmlns:xs="http://www.w3.org/2001/XMLSchema" xmlns:p="http://schemas.microsoft.com/office/2006/metadata/properties" xmlns:ns2="8c2e3eeb-cd98-4e76-8039-4a06a16d9eb8" xmlns:ns3="f12f4560-dfbd-40a5-b44d-a58850941b47" targetNamespace="http://schemas.microsoft.com/office/2006/metadata/properties" ma:root="true" ma:fieldsID="701fa706aeda84e2b494fef1383ba9db" ns2:_="" ns3:_="">
    <xsd:import namespace="8c2e3eeb-cd98-4e76-8039-4a06a16d9eb8"/>
    <xsd:import namespace="f12f4560-dfbd-40a5-b44d-a58850941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3eeb-cd98-4e76-8039-4a06a16d9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2f4560-dfbd-40a5-b44d-a58850941b4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1601C-89AD-4DF9-A31B-B989CEA20299}">
  <ds:schemaRefs>
    <ds:schemaRef ds:uri="http://schemas.microsoft.com/sharepoint/v3/contenttype/forms"/>
  </ds:schemaRefs>
</ds:datastoreItem>
</file>

<file path=customXml/itemProps2.xml><?xml version="1.0" encoding="utf-8"?>
<ds:datastoreItem xmlns:ds="http://schemas.openxmlformats.org/officeDocument/2006/customXml" ds:itemID="{F181CF26-7C03-40B9-8254-DCCAC7FB3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e3eeb-cd98-4e76-8039-4a06a16d9eb8"/>
    <ds:schemaRef ds:uri="f12f4560-dfbd-40a5-b44d-a58850941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C555B-6376-4702-81B0-1E09FCC2F0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660</Words>
  <Characters>3766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Stampa</dc:creator>
  <cp:keywords/>
  <dc:description/>
  <cp:lastModifiedBy>Ufficio Stampa</cp:lastModifiedBy>
  <cp:revision>13</cp:revision>
  <dcterms:created xsi:type="dcterms:W3CDTF">2022-02-28T17:23:00Z</dcterms:created>
  <dcterms:modified xsi:type="dcterms:W3CDTF">2022-03-21T08:22:00Z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0x010100983383CBD245B442AC20B9E832D35FBB</vt:lpwstr>
  </property>
</Properties>
</file>