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4BC6" w14:textId="39189CA7" w:rsidR="00CF20D2" w:rsidRDefault="00CF20D2" w:rsidP="00C120A5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74BAAED0" w14:textId="25DCD6F8" w:rsidR="00B50399" w:rsidRDefault="009E0137" w:rsidP="002330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Risultati finanziari </w:t>
      </w:r>
      <w:r w:rsidR="005F23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Gruppo </w:t>
      </w:r>
      <w:r w:rsidR="002330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Banca Finint</w:t>
      </w:r>
      <w:r w:rsidR="00B5039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Pr="009E01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aumento</w:t>
      </w:r>
      <w:r w:rsidR="007E5BF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 doppia cifra</w:t>
      </w:r>
      <w:r w:rsidRPr="009E01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72A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dei ricavi</w:t>
      </w:r>
      <w:r w:rsidR="005F23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 dell’utile. Alla crescita organica si associa l’</w:t>
      </w:r>
      <w:r w:rsidR="009638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ampliamento del perimetro di business</w:t>
      </w:r>
      <w:r w:rsidRPr="009E01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504A937" w14:textId="703A0CED" w:rsidR="00E44838" w:rsidRDefault="00E44838" w:rsidP="00E4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0ECDDD" w14:textId="77777777" w:rsidR="003C0364" w:rsidRDefault="003C0364" w:rsidP="00E44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946E79" w14:textId="265531DE" w:rsidR="00254C4D" w:rsidRPr="003C0364" w:rsidRDefault="007E5BF6" w:rsidP="00172F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Margine di intermediazione pari a €63,7m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ilioni</w:t>
      </w:r>
      <w:r w:rsidRP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+11% a/a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di cui</w:t>
      </w:r>
      <w:r w:rsidRP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254C4D" w:rsidRP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argine finanziario e da servizi </w:t>
      </w:r>
      <w:r w:rsidR="00285E5E" w:rsidRP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€</w:t>
      </w:r>
      <w:r w:rsidR="004451C1" w:rsidRP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61,5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85E5E" w:rsidRP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ilioni</w:t>
      </w:r>
      <w:r w:rsidR="00285E5E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451C1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 crescita </w:t>
      </w:r>
      <w:r w:rsidR="00285E5E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del </w:t>
      </w:r>
      <w:r w:rsidR="00003D25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8,9</w:t>
      </w:r>
      <w:r w:rsidR="00285E5E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% a/a</w:t>
      </w:r>
      <w:r w:rsidR="00254C4D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con commissioni che ammontano a </w:t>
      </w:r>
      <w:r w:rsidR="004451C1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€54,7m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ilioni </w:t>
      </w:r>
      <w:r w:rsidR="004451C1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(+9% a/a</w:t>
      </w:r>
      <w:r w:rsidR="00C60BD8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="005F23DD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 sono pari a</w:t>
      </w:r>
      <w:r w:rsidR="00C60BD8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="003C0364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15AD" w:rsidRPr="00393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86% del margine</w:t>
      </w:r>
      <w:r w:rsidR="000C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di intermediazione.</w:t>
      </w:r>
    </w:p>
    <w:p w14:paraId="35B6B983" w14:textId="36CA3505" w:rsidR="0023726D" w:rsidRPr="0023726D" w:rsidRDefault="00CF1A5C" w:rsidP="002372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 w:rsidR="00254C4D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tile </w:t>
      </w:r>
      <w:r w:rsidR="00FE5102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lordo</w:t>
      </w:r>
      <w:r w:rsidR="00F16CBE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6424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consolidato </w:t>
      </w:r>
      <w:r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</w:t>
      </w:r>
      <w:r w:rsidR="00CA6424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51C1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€</w:t>
      </w:r>
      <w:r w:rsidR="00CE707D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="00CA6424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,8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6424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ilioni</w:t>
      </w:r>
      <w:r w:rsidR="00CA6424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CE707D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cres</w:t>
      </w:r>
      <w:r w:rsidR="00CE7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</w:t>
      </w:r>
      <w:r w:rsidR="00CA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5BF6" w:rsidRP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dell’11%</w:t>
      </w:r>
      <w:r w:rsid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rispetto a</w:t>
      </w:r>
      <w:r w:rsid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="00445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51C1" w:rsidRPr="00445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€</w:t>
      </w:r>
      <w:r w:rsidR="00CE7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</w:t>
      </w:r>
      <w:r w:rsidR="00CA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,8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ilioni</w:t>
      </w:r>
      <w:r w:rsidR="00CA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r w:rsidR="00CE7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76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55C70" w:rsidRPr="00237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utile netto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pari a</w:t>
      </w:r>
      <w:r w:rsidR="00455C70" w:rsidRPr="00237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52D4A" w:rsidRPr="00237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€15,1m</w:t>
      </w:r>
      <w:r w:rsidR="00C02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ilioni</w:t>
      </w:r>
    </w:p>
    <w:p w14:paraId="3C2B015C" w14:textId="20E10516" w:rsidR="004451C1" w:rsidRPr="00CF1A5C" w:rsidRDefault="00CF1A5C" w:rsidP="00CF1A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Sensibile </w:t>
      </w:r>
      <w:r w:rsidR="007E5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investimento sulle persone con un incremento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dell’organico</w:t>
      </w:r>
      <w:r w:rsidR="000C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di oltre il 10%: </w:t>
      </w:r>
      <w:r w:rsidR="0021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D05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21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 </w:t>
      </w:r>
      <w:r w:rsidR="0021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assunzioni in corso d’anno</w:t>
      </w:r>
    </w:p>
    <w:p w14:paraId="76045E0A" w14:textId="463307B3" w:rsidR="0023309F" w:rsidRPr="00D54BF0" w:rsidRDefault="005107DD" w:rsidP="00D54B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64383514"/>
      <w:r w:rsidRPr="00254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r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crescita i risultati della parteci</w:t>
      </w:r>
      <w:r w:rsidR="00F91E99"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pata Finint </w:t>
      </w:r>
      <w:r w:rsid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Investment </w:t>
      </w:r>
      <w:r w:rsidR="00F91E99"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SGR</w:t>
      </w:r>
      <w:r w:rsid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F91E99"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che raggiunge un</w:t>
      </w:r>
      <w:r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risultato netto</w:t>
      </w:r>
      <w:r w:rsidR="00F91E99"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di</w:t>
      </w:r>
      <w:r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03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254C4D"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milioni di euro </w:t>
      </w:r>
      <w:r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(+</w:t>
      </w:r>
      <w:r w:rsidR="007A64FC"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7A64FC"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003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D54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%) </w:t>
      </w:r>
    </w:p>
    <w:bookmarkEnd w:id="0"/>
    <w:p w14:paraId="636F7DAE" w14:textId="18FC9B89" w:rsidR="00272A11" w:rsidRDefault="00CF1A5C" w:rsidP="00CF1A5C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2DE7A12D" w14:textId="77777777" w:rsidR="003C0364" w:rsidRDefault="003C0364" w:rsidP="00CF1A5C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3AB95F5" w14:textId="6B6AD768" w:rsidR="0023309F" w:rsidRPr="00D25138" w:rsidRDefault="0023309F" w:rsidP="00C70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138">
        <w:rPr>
          <w:rFonts w:ascii="Times New Roman" w:hAnsi="Times New Roman" w:cs="Times New Roman"/>
          <w:i/>
          <w:iCs/>
        </w:rPr>
        <w:t xml:space="preserve">Conegliano, </w:t>
      </w:r>
      <w:r w:rsidR="000B4649">
        <w:rPr>
          <w:rFonts w:ascii="Times New Roman" w:hAnsi="Times New Roman" w:cs="Times New Roman"/>
          <w:i/>
          <w:iCs/>
        </w:rPr>
        <w:t>02</w:t>
      </w:r>
      <w:r w:rsidRPr="00D25138">
        <w:rPr>
          <w:rFonts w:ascii="Times New Roman" w:hAnsi="Times New Roman" w:cs="Times New Roman"/>
          <w:i/>
          <w:iCs/>
        </w:rPr>
        <w:t xml:space="preserve"> </w:t>
      </w:r>
      <w:r w:rsidR="000B4649">
        <w:rPr>
          <w:rFonts w:ascii="Times New Roman" w:hAnsi="Times New Roman" w:cs="Times New Roman"/>
          <w:i/>
          <w:iCs/>
        </w:rPr>
        <w:t>marzo</w:t>
      </w:r>
      <w:r w:rsidRPr="00D25138">
        <w:rPr>
          <w:rFonts w:ascii="Times New Roman" w:hAnsi="Times New Roman" w:cs="Times New Roman"/>
          <w:i/>
          <w:iCs/>
        </w:rPr>
        <w:t xml:space="preserve"> 202</w:t>
      </w:r>
      <w:r w:rsidR="00842880" w:rsidRPr="00D25138">
        <w:rPr>
          <w:rFonts w:ascii="Times New Roman" w:hAnsi="Times New Roman" w:cs="Times New Roman"/>
          <w:i/>
          <w:iCs/>
        </w:rPr>
        <w:t>2</w:t>
      </w:r>
      <w:r w:rsidRPr="00D25138">
        <w:rPr>
          <w:rFonts w:ascii="Times New Roman" w:hAnsi="Times New Roman" w:cs="Times New Roman"/>
        </w:rPr>
        <w:t xml:space="preserve"> – Il Consiglio di Amministrazione di Banca Finint S.p.A., riunitosi sotto la presidenza di Enrico Marchi, ha approvato</w:t>
      </w:r>
      <w:r w:rsidR="00792BD7" w:rsidRPr="00D25138">
        <w:rPr>
          <w:rFonts w:ascii="Times New Roman" w:hAnsi="Times New Roman" w:cs="Times New Roman"/>
        </w:rPr>
        <w:t xml:space="preserve"> </w:t>
      </w:r>
      <w:r w:rsidR="000B12FF" w:rsidRPr="00D25138">
        <w:rPr>
          <w:rFonts w:ascii="Times New Roman" w:hAnsi="Times New Roman" w:cs="Times New Roman"/>
        </w:rPr>
        <w:t xml:space="preserve">i dati di bilancio </w:t>
      </w:r>
      <w:r w:rsidR="009A03A2" w:rsidRPr="00D25138">
        <w:rPr>
          <w:rFonts w:ascii="Times New Roman" w:hAnsi="Times New Roman" w:cs="Times New Roman"/>
        </w:rPr>
        <w:t xml:space="preserve">consolidato </w:t>
      </w:r>
      <w:r w:rsidR="000B12FF" w:rsidRPr="00D25138">
        <w:rPr>
          <w:rFonts w:ascii="Times New Roman" w:hAnsi="Times New Roman" w:cs="Times New Roman"/>
        </w:rPr>
        <w:t>relativi all’anno 202</w:t>
      </w:r>
      <w:r w:rsidR="00842880" w:rsidRPr="00D25138">
        <w:rPr>
          <w:rFonts w:ascii="Times New Roman" w:hAnsi="Times New Roman" w:cs="Times New Roman"/>
        </w:rPr>
        <w:t>1</w:t>
      </w:r>
      <w:r w:rsidRPr="00D25138">
        <w:rPr>
          <w:rFonts w:ascii="Times New Roman" w:hAnsi="Times New Roman" w:cs="Times New Roman"/>
        </w:rPr>
        <w:t>.</w:t>
      </w:r>
    </w:p>
    <w:p w14:paraId="13021962" w14:textId="529488B6" w:rsidR="00842880" w:rsidRPr="00D25138" w:rsidRDefault="00842880" w:rsidP="00C700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7DF54" w14:textId="6BE30BA6" w:rsidR="006B0819" w:rsidRPr="00D25138" w:rsidRDefault="00842880" w:rsidP="00C700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5138">
        <w:rPr>
          <w:rFonts w:ascii="Times New Roman" w:hAnsi="Times New Roman" w:cs="Times New Roman"/>
          <w:i/>
          <w:iCs/>
        </w:rPr>
        <w:t>“Nel 2021 Banca Finint ha confermato la propria capacità di crescere e guardare al futuro</w:t>
      </w:r>
      <w:r w:rsidR="00A02F91">
        <w:rPr>
          <w:rFonts w:ascii="Times New Roman" w:hAnsi="Times New Roman" w:cs="Times New Roman"/>
          <w:i/>
          <w:iCs/>
        </w:rPr>
        <w:t>,</w:t>
      </w:r>
      <w:r w:rsidRPr="00D25138">
        <w:rPr>
          <w:rFonts w:ascii="Times New Roman" w:hAnsi="Times New Roman" w:cs="Times New Roman"/>
          <w:i/>
          <w:iCs/>
        </w:rPr>
        <w:t xml:space="preserve"> </w:t>
      </w:r>
      <w:r w:rsidR="00C55967" w:rsidRPr="00D25138">
        <w:rPr>
          <w:rFonts w:ascii="Times New Roman" w:hAnsi="Times New Roman" w:cs="Times New Roman"/>
          <w:i/>
          <w:iCs/>
        </w:rPr>
        <w:t>pur</w:t>
      </w:r>
      <w:r w:rsidRPr="00D25138">
        <w:rPr>
          <w:rFonts w:ascii="Times New Roman" w:hAnsi="Times New Roman" w:cs="Times New Roman"/>
          <w:i/>
          <w:iCs/>
        </w:rPr>
        <w:t xml:space="preserve"> in </w:t>
      </w:r>
      <w:r w:rsidR="007D1148" w:rsidRPr="00D25138">
        <w:rPr>
          <w:rFonts w:ascii="Times New Roman" w:hAnsi="Times New Roman" w:cs="Times New Roman"/>
          <w:i/>
          <w:iCs/>
        </w:rPr>
        <w:t xml:space="preserve">un </w:t>
      </w:r>
      <w:r w:rsidRPr="00D25138">
        <w:rPr>
          <w:rFonts w:ascii="Times New Roman" w:hAnsi="Times New Roman" w:cs="Times New Roman"/>
          <w:i/>
          <w:iCs/>
        </w:rPr>
        <w:t>contest</w:t>
      </w:r>
      <w:r w:rsidR="007D1148" w:rsidRPr="00D25138">
        <w:rPr>
          <w:rFonts w:ascii="Times New Roman" w:hAnsi="Times New Roman" w:cs="Times New Roman"/>
          <w:i/>
          <w:iCs/>
        </w:rPr>
        <w:t>o</w:t>
      </w:r>
      <w:r w:rsidRPr="00D25138">
        <w:rPr>
          <w:rFonts w:ascii="Times New Roman" w:hAnsi="Times New Roman" w:cs="Times New Roman"/>
          <w:i/>
          <w:iCs/>
        </w:rPr>
        <w:t xml:space="preserve"> straordinari</w:t>
      </w:r>
      <w:r w:rsidR="007D1148" w:rsidRPr="00D25138">
        <w:rPr>
          <w:rFonts w:ascii="Times New Roman" w:hAnsi="Times New Roman" w:cs="Times New Roman"/>
          <w:i/>
          <w:iCs/>
        </w:rPr>
        <w:t>o quale quello pandemico</w:t>
      </w:r>
      <w:r w:rsidR="00B159B3" w:rsidRPr="00D25138">
        <w:rPr>
          <w:rFonts w:ascii="Times New Roman" w:hAnsi="Times New Roman" w:cs="Times New Roman"/>
          <w:i/>
          <w:iCs/>
        </w:rPr>
        <w:t xml:space="preserve">, </w:t>
      </w:r>
      <w:r w:rsidRPr="00D25138">
        <w:rPr>
          <w:rFonts w:ascii="Times New Roman" w:hAnsi="Times New Roman" w:cs="Times New Roman"/>
          <w:i/>
          <w:iCs/>
        </w:rPr>
        <w:t>dimostrando la validità del proprio modello di business</w:t>
      </w:r>
      <w:r w:rsidR="00B159B3" w:rsidRPr="00D25138">
        <w:rPr>
          <w:rFonts w:ascii="Times New Roman" w:hAnsi="Times New Roman" w:cs="Times New Roman"/>
          <w:i/>
          <w:iCs/>
        </w:rPr>
        <w:t>:</w:t>
      </w:r>
      <w:r w:rsidR="00C55967" w:rsidRPr="00D25138">
        <w:rPr>
          <w:rFonts w:ascii="Times New Roman" w:hAnsi="Times New Roman" w:cs="Times New Roman"/>
          <w:i/>
          <w:iCs/>
        </w:rPr>
        <w:t xml:space="preserve"> </w:t>
      </w:r>
      <w:r w:rsidR="00B159B3" w:rsidRPr="00D25138">
        <w:rPr>
          <w:rFonts w:ascii="Times New Roman" w:hAnsi="Times New Roman" w:cs="Times New Roman"/>
          <w:i/>
          <w:iCs/>
        </w:rPr>
        <w:t>d</w:t>
      </w:r>
      <w:r w:rsidR="00C55967" w:rsidRPr="00D25138">
        <w:rPr>
          <w:rFonts w:ascii="Times New Roman" w:hAnsi="Times New Roman" w:cs="Times New Roman"/>
          <w:i/>
          <w:iCs/>
        </w:rPr>
        <w:t>a</w:t>
      </w:r>
      <w:r w:rsidR="00B159B3" w:rsidRPr="00D25138">
        <w:rPr>
          <w:rFonts w:ascii="Times New Roman" w:hAnsi="Times New Roman" w:cs="Times New Roman"/>
          <w:i/>
          <w:iCs/>
        </w:rPr>
        <w:t xml:space="preserve">l </w:t>
      </w:r>
      <w:r w:rsidR="00003D25">
        <w:rPr>
          <w:rFonts w:ascii="Times New Roman" w:hAnsi="Times New Roman" w:cs="Times New Roman"/>
          <w:i/>
          <w:iCs/>
        </w:rPr>
        <w:t>1980</w:t>
      </w:r>
      <w:r w:rsidR="00003D25" w:rsidRPr="00D25138">
        <w:rPr>
          <w:rFonts w:ascii="Times New Roman" w:hAnsi="Times New Roman" w:cs="Times New Roman"/>
          <w:i/>
          <w:iCs/>
        </w:rPr>
        <w:t xml:space="preserve"> </w:t>
      </w:r>
      <w:r w:rsidR="00C55967" w:rsidRPr="00D25138">
        <w:rPr>
          <w:rFonts w:ascii="Times New Roman" w:hAnsi="Times New Roman" w:cs="Times New Roman"/>
          <w:i/>
          <w:iCs/>
        </w:rPr>
        <w:t xml:space="preserve">rispondiamo </w:t>
      </w:r>
      <w:r w:rsidRPr="00D25138">
        <w:rPr>
          <w:rFonts w:ascii="Times New Roman" w:hAnsi="Times New Roman" w:cs="Times New Roman"/>
          <w:i/>
          <w:iCs/>
        </w:rPr>
        <w:t>all</w:t>
      </w:r>
      <w:r w:rsidR="00C55967" w:rsidRPr="00D25138">
        <w:rPr>
          <w:rFonts w:ascii="Times New Roman" w:hAnsi="Times New Roman" w:cs="Times New Roman"/>
          <w:i/>
          <w:iCs/>
        </w:rPr>
        <w:t>e esigenze più sofisticate dell</w:t>
      </w:r>
      <w:r w:rsidRPr="00D25138">
        <w:rPr>
          <w:rFonts w:ascii="Times New Roman" w:hAnsi="Times New Roman" w:cs="Times New Roman"/>
          <w:i/>
          <w:iCs/>
        </w:rPr>
        <w:t>’impresa</w:t>
      </w:r>
      <w:r w:rsidR="00C55967" w:rsidRPr="00D25138">
        <w:rPr>
          <w:rFonts w:ascii="Times New Roman" w:hAnsi="Times New Roman" w:cs="Times New Roman"/>
          <w:i/>
          <w:iCs/>
        </w:rPr>
        <w:t>, favorendone la sostenibilità e lo sviluppo a beneficio del</w:t>
      </w:r>
      <w:r w:rsidR="00A02F91">
        <w:rPr>
          <w:rFonts w:ascii="Times New Roman" w:hAnsi="Times New Roman" w:cs="Times New Roman"/>
          <w:i/>
          <w:iCs/>
        </w:rPr>
        <w:t>l’economia reale e del</w:t>
      </w:r>
      <w:r w:rsidR="00C55967" w:rsidRPr="00D25138">
        <w:rPr>
          <w:rFonts w:ascii="Times New Roman" w:hAnsi="Times New Roman" w:cs="Times New Roman"/>
          <w:i/>
          <w:iCs/>
        </w:rPr>
        <w:t xml:space="preserve"> tessuto</w:t>
      </w:r>
      <w:r w:rsidR="003C0364">
        <w:rPr>
          <w:rFonts w:ascii="Times New Roman" w:hAnsi="Times New Roman" w:cs="Times New Roman"/>
          <w:i/>
          <w:iCs/>
        </w:rPr>
        <w:t xml:space="preserve"> </w:t>
      </w:r>
      <w:r w:rsidR="00C55967" w:rsidRPr="00D25138">
        <w:rPr>
          <w:rFonts w:ascii="Times New Roman" w:hAnsi="Times New Roman" w:cs="Times New Roman"/>
          <w:i/>
          <w:iCs/>
        </w:rPr>
        <w:t xml:space="preserve">economico italiano. </w:t>
      </w:r>
      <w:r w:rsidR="00F0683C">
        <w:rPr>
          <w:rFonts w:ascii="Times New Roman" w:hAnsi="Times New Roman" w:cs="Times New Roman"/>
          <w:i/>
          <w:iCs/>
        </w:rPr>
        <w:t>Con</w:t>
      </w:r>
      <w:r w:rsidR="00C55967" w:rsidRPr="00D25138">
        <w:rPr>
          <w:rFonts w:ascii="Times New Roman" w:hAnsi="Times New Roman" w:cs="Times New Roman"/>
          <w:i/>
          <w:iCs/>
        </w:rPr>
        <w:t xml:space="preserve"> questo </w:t>
      </w:r>
      <w:r w:rsidR="00F0683C">
        <w:rPr>
          <w:rFonts w:ascii="Times New Roman" w:hAnsi="Times New Roman" w:cs="Times New Roman"/>
          <w:i/>
          <w:iCs/>
        </w:rPr>
        <w:t xml:space="preserve">stesso </w:t>
      </w:r>
      <w:r w:rsidR="00C55967" w:rsidRPr="00D25138">
        <w:rPr>
          <w:rFonts w:ascii="Times New Roman" w:hAnsi="Times New Roman" w:cs="Times New Roman"/>
          <w:i/>
          <w:iCs/>
        </w:rPr>
        <w:t>spirito di servizio</w:t>
      </w:r>
      <w:r w:rsidR="00F0683C">
        <w:rPr>
          <w:rFonts w:ascii="Times New Roman" w:hAnsi="Times New Roman" w:cs="Times New Roman"/>
          <w:i/>
          <w:iCs/>
        </w:rPr>
        <w:t xml:space="preserve">, </w:t>
      </w:r>
      <w:r w:rsidR="007D1148" w:rsidRPr="00D25138">
        <w:rPr>
          <w:rFonts w:ascii="Times New Roman" w:hAnsi="Times New Roman" w:cs="Times New Roman"/>
          <w:i/>
          <w:iCs/>
        </w:rPr>
        <w:t>in</w:t>
      </w:r>
      <w:r w:rsidR="00C55967" w:rsidRPr="00D25138">
        <w:rPr>
          <w:rFonts w:ascii="Times New Roman" w:hAnsi="Times New Roman" w:cs="Times New Roman"/>
          <w:i/>
          <w:iCs/>
        </w:rPr>
        <w:t xml:space="preserve"> anni tanto difficili per il Paese</w:t>
      </w:r>
      <w:r w:rsidR="007D1148" w:rsidRPr="00D25138">
        <w:rPr>
          <w:rFonts w:ascii="Times New Roman" w:hAnsi="Times New Roman" w:cs="Times New Roman"/>
          <w:i/>
          <w:iCs/>
        </w:rPr>
        <w:t xml:space="preserve">, </w:t>
      </w:r>
      <w:r w:rsidR="00F0683C">
        <w:rPr>
          <w:rFonts w:ascii="Times New Roman" w:hAnsi="Times New Roman" w:cs="Times New Roman"/>
          <w:i/>
          <w:iCs/>
        </w:rPr>
        <w:t xml:space="preserve">vogliamo </w:t>
      </w:r>
      <w:r w:rsidR="007D1148" w:rsidRPr="00D25138">
        <w:rPr>
          <w:rFonts w:ascii="Times New Roman" w:hAnsi="Times New Roman" w:cs="Times New Roman"/>
          <w:i/>
          <w:iCs/>
        </w:rPr>
        <w:t xml:space="preserve">accompagnare la ripartenza </w:t>
      </w:r>
      <w:r w:rsidR="00526A76">
        <w:rPr>
          <w:rFonts w:ascii="Times New Roman" w:hAnsi="Times New Roman" w:cs="Times New Roman"/>
          <w:i/>
          <w:iCs/>
        </w:rPr>
        <w:t>anche tramite un’evoluzione</w:t>
      </w:r>
      <w:r w:rsidR="00F0683C">
        <w:rPr>
          <w:rFonts w:ascii="Times New Roman" w:hAnsi="Times New Roman" w:cs="Times New Roman"/>
          <w:i/>
          <w:iCs/>
        </w:rPr>
        <w:t xml:space="preserve"> </w:t>
      </w:r>
      <w:r w:rsidR="00925890">
        <w:rPr>
          <w:rFonts w:ascii="Times New Roman" w:hAnsi="Times New Roman" w:cs="Times New Roman"/>
          <w:i/>
          <w:iCs/>
        </w:rPr>
        <w:t xml:space="preserve">del </w:t>
      </w:r>
      <w:r w:rsidR="00F0683C">
        <w:rPr>
          <w:rFonts w:ascii="Times New Roman" w:hAnsi="Times New Roman" w:cs="Times New Roman"/>
          <w:i/>
          <w:iCs/>
        </w:rPr>
        <w:t xml:space="preserve">nostro modello di business nella direzione di una </w:t>
      </w:r>
      <w:r w:rsidR="007D1148" w:rsidRPr="00D25138">
        <w:rPr>
          <w:rFonts w:ascii="Times New Roman" w:hAnsi="Times New Roman" w:cs="Times New Roman"/>
          <w:i/>
          <w:iCs/>
        </w:rPr>
        <w:t xml:space="preserve">gamma </w:t>
      </w:r>
      <w:r w:rsidR="00F0683C">
        <w:rPr>
          <w:rFonts w:ascii="Times New Roman" w:hAnsi="Times New Roman" w:cs="Times New Roman"/>
          <w:i/>
          <w:iCs/>
        </w:rPr>
        <w:t xml:space="preserve">sempre più </w:t>
      </w:r>
      <w:r w:rsidR="00F0683C" w:rsidRPr="00F0683C">
        <w:rPr>
          <w:rFonts w:ascii="Times New Roman" w:hAnsi="Times New Roman" w:cs="Times New Roman"/>
          <w:i/>
          <w:iCs/>
        </w:rPr>
        <w:t>completa</w:t>
      </w:r>
      <w:r w:rsidR="00CA7453">
        <w:rPr>
          <w:rFonts w:ascii="Times New Roman" w:hAnsi="Times New Roman" w:cs="Times New Roman"/>
          <w:i/>
          <w:iCs/>
        </w:rPr>
        <w:t>,</w:t>
      </w:r>
      <w:r w:rsidR="00F0683C" w:rsidRPr="00F0683C">
        <w:rPr>
          <w:rFonts w:ascii="Times New Roman" w:hAnsi="Times New Roman" w:cs="Times New Roman"/>
          <w:i/>
          <w:iCs/>
        </w:rPr>
        <w:t xml:space="preserve"> trasversale</w:t>
      </w:r>
      <w:r w:rsidR="00CA7453">
        <w:rPr>
          <w:rFonts w:ascii="Times New Roman" w:hAnsi="Times New Roman" w:cs="Times New Roman"/>
          <w:i/>
          <w:iCs/>
        </w:rPr>
        <w:t xml:space="preserve"> e innovativa</w:t>
      </w:r>
      <w:r w:rsidR="00F0683C" w:rsidRPr="00F0683C">
        <w:rPr>
          <w:rFonts w:ascii="Times New Roman" w:hAnsi="Times New Roman" w:cs="Times New Roman"/>
          <w:i/>
          <w:iCs/>
        </w:rPr>
        <w:t xml:space="preserve"> </w:t>
      </w:r>
      <w:r w:rsidR="007D4C47" w:rsidRPr="00D25138">
        <w:rPr>
          <w:rFonts w:ascii="Times New Roman" w:hAnsi="Times New Roman" w:cs="Times New Roman"/>
          <w:i/>
          <w:iCs/>
        </w:rPr>
        <w:t>di soluzioni a disposizione</w:t>
      </w:r>
      <w:r w:rsidR="007D1148" w:rsidRPr="00D25138">
        <w:rPr>
          <w:rFonts w:ascii="Times New Roman" w:hAnsi="Times New Roman" w:cs="Times New Roman"/>
          <w:i/>
          <w:iCs/>
        </w:rPr>
        <w:t xml:space="preserve"> </w:t>
      </w:r>
      <w:r w:rsidR="007D4C47" w:rsidRPr="00D25138">
        <w:rPr>
          <w:rFonts w:ascii="Times New Roman" w:hAnsi="Times New Roman" w:cs="Times New Roman"/>
          <w:i/>
          <w:iCs/>
        </w:rPr>
        <w:t>de</w:t>
      </w:r>
      <w:r w:rsidR="007D1148" w:rsidRPr="00D25138">
        <w:rPr>
          <w:rFonts w:ascii="Times New Roman" w:hAnsi="Times New Roman" w:cs="Times New Roman"/>
          <w:i/>
          <w:iCs/>
        </w:rPr>
        <w:t>ll’imprenditore</w:t>
      </w:r>
      <w:r w:rsidR="007E5BF6">
        <w:rPr>
          <w:rFonts w:ascii="Times New Roman" w:hAnsi="Times New Roman" w:cs="Times New Roman"/>
          <w:i/>
          <w:iCs/>
        </w:rPr>
        <w:t xml:space="preserve"> e della sua azienda</w:t>
      </w:r>
      <w:r w:rsidR="00D05AB5">
        <w:rPr>
          <w:rFonts w:ascii="Times New Roman" w:hAnsi="Times New Roman" w:cs="Times New Roman"/>
          <w:i/>
          <w:iCs/>
        </w:rPr>
        <w:t>,</w:t>
      </w:r>
      <w:r w:rsidR="00526A76">
        <w:rPr>
          <w:rFonts w:ascii="Times New Roman" w:hAnsi="Times New Roman" w:cs="Times New Roman"/>
          <w:i/>
          <w:iCs/>
        </w:rPr>
        <w:t xml:space="preserve"> </w:t>
      </w:r>
      <w:r w:rsidR="00A83984">
        <w:rPr>
          <w:rFonts w:ascii="Times New Roman" w:hAnsi="Times New Roman" w:cs="Times New Roman"/>
          <w:i/>
          <w:iCs/>
        </w:rPr>
        <w:t xml:space="preserve">curandone </w:t>
      </w:r>
      <w:r w:rsidR="0096389E">
        <w:rPr>
          <w:rFonts w:ascii="Times New Roman" w:hAnsi="Times New Roman" w:cs="Times New Roman"/>
          <w:i/>
          <w:iCs/>
        </w:rPr>
        <w:t xml:space="preserve">inoltre </w:t>
      </w:r>
      <w:r w:rsidR="00A83984">
        <w:rPr>
          <w:rFonts w:ascii="Times New Roman" w:hAnsi="Times New Roman" w:cs="Times New Roman"/>
          <w:i/>
          <w:iCs/>
        </w:rPr>
        <w:t>–</w:t>
      </w:r>
      <w:r w:rsidR="0096389E">
        <w:rPr>
          <w:rFonts w:ascii="Times New Roman" w:hAnsi="Times New Roman" w:cs="Times New Roman"/>
          <w:i/>
          <w:iCs/>
        </w:rPr>
        <w:t xml:space="preserve"> e </w:t>
      </w:r>
      <w:r w:rsidR="00A83984">
        <w:rPr>
          <w:rFonts w:ascii="Times New Roman" w:hAnsi="Times New Roman" w:cs="Times New Roman"/>
          <w:i/>
          <w:iCs/>
        </w:rPr>
        <w:t xml:space="preserve">in misura sempre maggiore </w:t>
      </w:r>
      <w:r w:rsidR="0096389E">
        <w:rPr>
          <w:rFonts w:ascii="Times New Roman" w:hAnsi="Times New Roman" w:cs="Times New Roman"/>
          <w:i/>
          <w:iCs/>
        </w:rPr>
        <w:t>– patrimonio e investimenti</w:t>
      </w:r>
      <w:r w:rsidR="00D54BF0" w:rsidRPr="00D25138">
        <w:rPr>
          <w:rFonts w:ascii="Times New Roman" w:hAnsi="Times New Roman" w:cs="Times New Roman"/>
          <w:i/>
          <w:iCs/>
        </w:rPr>
        <w:t>.</w:t>
      </w:r>
      <w:r w:rsidR="00A83984">
        <w:rPr>
          <w:rFonts w:ascii="Times New Roman" w:hAnsi="Times New Roman" w:cs="Times New Roman"/>
          <w:i/>
          <w:iCs/>
        </w:rPr>
        <w:t>”</w:t>
      </w:r>
      <w:r w:rsidR="007D4C47" w:rsidRPr="00D25138">
        <w:rPr>
          <w:rFonts w:ascii="Times New Roman" w:hAnsi="Times New Roman" w:cs="Times New Roman"/>
          <w:i/>
          <w:iCs/>
        </w:rPr>
        <w:t xml:space="preserve"> </w:t>
      </w:r>
      <w:r w:rsidR="00C55967" w:rsidRPr="00D25138">
        <w:rPr>
          <w:rFonts w:ascii="Times New Roman" w:hAnsi="Times New Roman" w:cs="Times New Roman"/>
        </w:rPr>
        <w:t>– ha</w:t>
      </w:r>
      <w:r w:rsidR="007D4C47" w:rsidRPr="00D25138">
        <w:rPr>
          <w:rFonts w:ascii="Times New Roman" w:hAnsi="Times New Roman" w:cs="Times New Roman"/>
        </w:rPr>
        <w:t xml:space="preserve"> dichiarato</w:t>
      </w:r>
      <w:r w:rsidR="00C55967" w:rsidRPr="00D25138">
        <w:rPr>
          <w:rFonts w:ascii="Times New Roman" w:hAnsi="Times New Roman" w:cs="Times New Roman"/>
        </w:rPr>
        <w:t xml:space="preserve"> </w:t>
      </w:r>
      <w:r w:rsidR="00C55967" w:rsidRPr="00D25138">
        <w:rPr>
          <w:rFonts w:ascii="Times New Roman" w:hAnsi="Times New Roman" w:cs="Times New Roman"/>
          <w:b/>
          <w:bCs/>
        </w:rPr>
        <w:t>Enrico Marchi, Presidente di Banca Finint</w:t>
      </w:r>
      <w:r w:rsidR="007D1148" w:rsidRPr="00D25138">
        <w:rPr>
          <w:rFonts w:ascii="Times New Roman" w:hAnsi="Times New Roman" w:cs="Times New Roman"/>
          <w:b/>
          <w:bCs/>
        </w:rPr>
        <w:t>.</w:t>
      </w:r>
    </w:p>
    <w:p w14:paraId="4104B311" w14:textId="77777777" w:rsidR="007D1148" w:rsidRPr="00D25138" w:rsidRDefault="007D1148" w:rsidP="00C700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A7E5CE" w14:textId="49F0F063" w:rsidR="006B0819" w:rsidRPr="00747B3D" w:rsidRDefault="00925890" w:rsidP="00C700F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7D4C47" w:rsidRPr="00925890">
        <w:rPr>
          <w:rFonts w:ascii="Times New Roman" w:hAnsi="Times New Roman" w:cs="Times New Roman"/>
          <w:i/>
          <w:iCs/>
        </w:rPr>
        <w:t xml:space="preserve">Banca Finint ha registrato risultati </w:t>
      </w:r>
      <w:r w:rsidR="005F23DD">
        <w:rPr>
          <w:rFonts w:ascii="Times New Roman" w:hAnsi="Times New Roman" w:cs="Times New Roman"/>
          <w:i/>
          <w:iCs/>
        </w:rPr>
        <w:t xml:space="preserve">in significativo </w:t>
      </w:r>
      <w:r w:rsidR="00986A8A">
        <w:rPr>
          <w:rFonts w:ascii="Times New Roman" w:hAnsi="Times New Roman" w:cs="Times New Roman"/>
          <w:i/>
          <w:iCs/>
        </w:rPr>
        <w:t>aumento</w:t>
      </w:r>
      <w:r w:rsidR="005F23DD">
        <w:rPr>
          <w:rFonts w:ascii="Times New Roman" w:hAnsi="Times New Roman" w:cs="Times New Roman"/>
          <w:i/>
          <w:iCs/>
        </w:rPr>
        <w:t xml:space="preserve"> sul 2020 e anche superiori agl</w:t>
      </w:r>
      <w:r w:rsidR="00986A8A">
        <w:rPr>
          <w:rFonts w:ascii="Times New Roman" w:hAnsi="Times New Roman" w:cs="Times New Roman"/>
          <w:i/>
          <w:iCs/>
        </w:rPr>
        <w:t>i</w:t>
      </w:r>
      <w:r w:rsidR="005F23DD">
        <w:rPr>
          <w:rFonts w:ascii="Times New Roman" w:hAnsi="Times New Roman" w:cs="Times New Roman"/>
          <w:i/>
          <w:iCs/>
        </w:rPr>
        <w:t xml:space="preserve"> obiettivi del</w:t>
      </w:r>
      <w:r w:rsidR="00F0683C" w:rsidRPr="00925890">
        <w:rPr>
          <w:rFonts w:ascii="Times New Roman" w:hAnsi="Times New Roman" w:cs="Times New Roman"/>
          <w:i/>
          <w:iCs/>
        </w:rPr>
        <w:t xml:space="preserve"> piano strategico</w:t>
      </w:r>
      <w:r w:rsidRPr="00925890">
        <w:rPr>
          <w:rFonts w:ascii="Times New Roman" w:hAnsi="Times New Roman" w:cs="Times New Roman"/>
          <w:i/>
          <w:iCs/>
        </w:rPr>
        <w:t xml:space="preserve"> </w:t>
      </w:r>
      <w:r w:rsidR="00D05AB5" w:rsidRPr="00925890">
        <w:rPr>
          <w:rFonts w:ascii="Times New Roman" w:hAnsi="Times New Roman" w:cs="Times New Roman"/>
          <w:i/>
          <w:iCs/>
        </w:rPr>
        <w:t>triennale</w:t>
      </w:r>
      <w:r w:rsidR="00F0683C" w:rsidRPr="00925890">
        <w:rPr>
          <w:rFonts w:ascii="Times New Roman" w:hAnsi="Times New Roman" w:cs="Times New Roman"/>
          <w:i/>
          <w:iCs/>
        </w:rPr>
        <w:t xml:space="preserve"> presentato nel corso </w:t>
      </w:r>
      <w:r w:rsidRPr="00925890">
        <w:rPr>
          <w:rFonts w:ascii="Times New Roman" w:hAnsi="Times New Roman" w:cs="Times New Roman"/>
          <w:i/>
          <w:iCs/>
        </w:rPr>
        <w:t>2021</w:t>
      </w:r>
      <w:r>
        <w:rPr>
          <w:rFonts w:ascii="Times New Roman" w:hAnsi="Times New Roman" w:cs="Times New Roman"/>
          <w:i/>
          <w:iCs/>
        </w:rPr>
        <w:t>.”</w:t>
      </w:r>
      <w:r w:rsidR="00CA7453" w:rsidRPr="00925890">
        <w:rPr>
          <w:rFonts w:ascii="Times New Roman" w:hAnsi="Times New Roman" w:cs="Times New Roman"/>
          <w:i/>
          <w:iCs/>
        </w:rPr>
        <w:t xml:space="preserve"> </w:t>
      </w:r>
      <w:r w:rsidR="00003D25" w:rsidRPr="00D25138">
        <w:rPr>
          <w:rFonts w:ascii="Times New Roman" w:hAnsi="Times New Roman" w:cs="Times New Roman"/>
        </w:rPr>
        <w:t>H</w:t>
      </w:r>
      <w:r w:rsidRPr="00D25138">
        <w:rPr>
          <w:rFonts w:ascii="Times New Roman" w:hAnsi="Times New Roman" w:cs="Times New Roman"/>
        </w:rPr>
        <w:t xml:space="preserve">a dichiarato </w:t>
      </w:r>
      <w:r w:rsidRPr="00925890">
        <w:rPr>
          <w:rFonts w:ascii="Times New Roman" w:hAnsi="Times New Roman" w:cs="Times New Roman"/>
          <w:b/>
          <w:bCs/>
        </w:rPr>
        <w:t>Fabio Innocenzi, Amministratore Delegato di Banca Finint.</w:t>
      </w:r>
      <w:r>
        <w:rPr>
          <w:rFonts w:ascii="Times New Roman" w:hAnsi="Times New Roman" w:cs="Times New Roman"/>
          <w:b/>
          <w:bCs/>
        </w:rPr>
        <w:t xml:space="preserve"> </w:t>
      </w:r>
      <w:r w:rsidRPr="00925890">
        <w:rPr>
          <w:rFonts w:ascii="Times New Roman" w:hAnsi="Times New Roman" w:cs="Times New Roman"/>
          <w:i/>
          <w:iCs/>
        </w:rPr>
        <w:t>“</w:t>
      </w:r>
      <w:r w:rsidR="005F23DD">
        <w:rPr>
          <w:rFonts w:ascii="Times New Roman" w:hAnsi="Times New Roman" w:cs="Times New Roman"/>
          <w:i/>
          <w:iCs/>
        </w:rPr>
        <w:t>I</w:t>
      </w:r>
      <w:r w:rsidR="00747B3D" w:rsidRPr="00747B3D">
        <w:rPr>
          <w:rFonts w:ascii="Times New Roman" w:hAnsi="Times New Roman" w:cs="Times New Roman"/>
          <w:i/>
          <w:iCs/>
        </w:rPr>
        <w:t>l contributo</w:t>
      </w:r>
      <w:r w:rsidR="005F23DD">
        <w:rPr>
          <w:rFonts w:ascii="Times New Roman" w:hAnsi="Times New Roman" w:cs="Times New Roman"/>
          <w:i/>
          <w:iCs/>
        </w:rPr>
        <w:t xml:space="preserve"> positivo deriva da</w:t>
      </w:r>
      <w:r w:rsidR="00747B3D" w:rsidRPr="00747B3D">
        <w:rPr>
          <w:rFonts w:ascii="Times New Roman" w:hAnsi="Times New Roman" w:cs="Times New Roman"/>
          <w:i/>
          <w:iCs/>
        </w:rPr>
        <w:t xml:space="preserve"> tutte le aree di business</w:t>
      </w:r>
      <w:r w:rsidR="0096389E">
        <w:rPr>
          <w:rFonts w:ascii="Times New Roman" w:hAnsi="Times New Roman" w:cs="Times New Roman"/>
          <w:i/>
          <w:iCs/>
        </w:rPr>
        <w:t xml:space="preserve"> e in particolare d</w:t>
      </w:r>
      <w:r w:rsidR="005F23DD">
        <w:rPr>
          <w:rFonts w:ascii="Times New Roman" w:hAnsi="Times New Roman" w:cs="Times New Roman"/>
          <w:i/>
          <w:iCs/>
        </w:rPr>
        <w:t>a</w:t>
      </w:r>
      <w:r w:rsidR="0096389E">
        <w:rPr>
          <w:rFonts w:ascii="Times New Roman" w:hAnsi="Times New Roman" w:cs="Times New Roman"/>
          <w:i/>
          <w:iCs/>
        </w:rPr>
        <w:t>l</w:t>
      </w:r>
      <w:r w:rsidR="0096389E" w:rsidRPr="008754D8">
        <w:rPr>
          <w:rFonts w:ascii="Times New Roman" w:hAnsi="Times New Roman" w:cs="Times New Roman"/>
          <w:i/>
          <w:iCs/>
        </w:rPr>
        <w:t>l</w:t>
      </w:r>
      <w:r w:rsidR="005F23DD">
        <w:rPr>
          <w:rFonts w:ascii="Times New Roman" w:hAnsi="Times New Roman" w:cs="Times New Roman"/>
          <w:i/>
          <w:iCs/>
        </w:rPr>
        <w:t xml:space="preserve">e </w:t>
      </w:r>
      <w:r w:rsidR="0096389E" w:rsidRPr="00242416">
        <w:rPr>
          <w:rFonts w:ascii="Times New Roman" w:hAnsi="Times New Roman" w:cs="Times New Roman"/>
          <w:i/>
          <w:iCs/>
        </w:rPr>
        <w:t>are</w:t>
      </w:r>
      <w:r w:rsidR="005F23DD" w:rsidRPr="00242416">
        <w:rPr>
          <w:rFonts w:ascii="Times New Roman" w:hAnsi="Times New Roman" w:cs="Times New Roman"/>
          <w:i/>
          <w:iCs/>
        </w:rPr>
        <w:t>e</w:t>
      </w:r>
      <w:r w:rsidR="0096389E" w:rsidRPr="00242416">
        <w:rPr>
          <w:rFonts w:ascii="Times New Roman" w:hAnsi="Times New Roman" w:cs="Times New Roman"/>
          <w:i/>
          <w:iCs/>
        </w:rPr>
        <w:t xml:space="preserve"> </w:t>
      </w:r>
      <w:r w:rsidR="008754D8" w:rsidRPr="00242416">
        <w:rPr>
          <w:rFonts w:ascii="Times New Roman" w:hAnsi="Times New Roman" w:cs="Times New Roman"/>
          <w:i/>
          <w:iCs/>
        </w:rPr>
        <w:t>della</w:t>
      </w:r>
      <w:r w:rsidR="0096389E" w:rsidRPr="00242416">
        <w:rPr>
          <w:rFonts w:ascii="Times New Roman" w:hAnsi="Times New Roman" w:cs="Times New Roman"/>
          <w:i/>
          <w:iCs/>
        </w:rPr>
        <w:t xml:space="preserve"> gestione delle cartolarizzazioni</w:t>
      </w:r>
      <w:r w:rsidR="005F23DD" w:rsidRPr="00242416">
        <w:rPr>
          <w:rFonts w:ascii="Times New Roman" w:hAnsi="Times New Roman" w:cs="Times New Roman"/>
          <w:i/>
          <w:iCs/>
        </w:rPr>
        <w:t xml:space="preserve"> e</w:t>
      </w:r>
      <w:r w:rsidR="0096389E" w:rsidRPr="00242416">
        <w:rPr>
          <w:rFonts w:ascii="Times New Roman" w:hAnsi="Times New Roman" w:cs="Times New Roman"/>
          <w:i/>
          <w:iCs/>
        </w:rPr>
        <w:t xml:space="preserve"> </w:t>
      </w:r>
      <w:r w:rsidR="008754D8" w:rsidRPr="00242416">
        <w:rPr>
          <w:rFonts w:ascii="Times New Roman" w:hAnsi="Times New Roman" w:cs="Times New Roman"/>
          <w:i/>
          <w:iCs/>
        </w:rPr>
        <w:t>del</w:t>
      </w:r>
      <w:r w:rsidR="0096389E" w:rsidRPr="00242416">
        <w:rPr>
          <w:rFonts w:ascii="Times New Roman" w:hAnsi="Times New Roman" w:cs="Times New Roman"/>
          <w:i/>
          <w:iCs/>
        </w:rPr>
        <w:t>l’asset management</w:t>
      </w:r>
      <w:r w:rsidR="006C37D3" w:rsidRPr="00242416">
        <w:rPr>
          <w:rFonts w:ascii="Times New Roman" w:hAnsi="Times New Roman" w:cs="Times New Roman"/>
          <w:i/>
          <w:iCs/>
        </w:rPr>
        <w:t xml:space="preserve">. Il dato che meglio spiega il percorso di crescita è quello </w:t>
      </w:r>
      <w:r w:rsidR="00003D25" w:rsidRPr="00242416">
        <w:rPr>
          <w:rFonts w:ascii="Times New Roman" w:hAnsi="Times New Roman" w:cs="Times New Roman"/>
          <w:i/>
          <w:iCs/>
        </w:rPr>
        <w:t>delle assunzioni</w:t>
      </w:r>
      <w:r w:rsidR="00E44838" w:rsidRPr="00242416">
        <w:rPr>
          <w:rFonts w:ascii="Times New Roman" w:hAnsi="Times New Roman" w:cs="Times New Roman"/>
          <w:i/>
          <w:iCs/>
        </w:rPr>
        <w:t>:</w:t>
      </w:r>
      <w:r w:rsidR="00003D25" w:rsidRPr="00242416">
        <w:rPr>
          <w:rFonts w:ascii="Times New Roman" w:hAnsi="Times New Roman" w:cs="Times New Roman"/>
          <w:i/>
          <w:iCs/>
        </w:rPr>
        <w:t xml:space="preserve"> sono entrati nel Gruppo 63 nuovi collaboratori, con un aumento </w:t>
      </w:r>
      <w:r w:rsidR="006C37D3" w:rsidRPr="00242416">
        <w:rPr>
          <w:rFonts w:ascii="Times New Roman" w:hAnsi="Times New Roman" w:cs="Times New Roman"/>
          <w:i/>
          <w:iCs/>
        </w:rPr>
        <w:t xml:space="preserve">del personale pari al </w:t>
      </w:r>
      <w:r w:rsidR="00003D25" w:rsidRPr="00242416">
        <w:rPr>
          <w:rFonts w:ascii="Times New Roman" w:hAnsi="Times New Roman" w:cs="Times New Roman"/>
          <w:i/>
          <w:iCs/>
        </w:rPr>
        <w:t>1</w:t>
      </w:r>
      <w:r w:rsidR="006C37D3" w:rsidRPr="00242416">
        <w:rPr>
          <w:rFonts w:ascii="Times New Roman" w:hAnsi="Times New Roman" w:cs="Times New Roman"/>
          <w:i/>
          <w:iCs/>
        </w:rPr>
        <w:t xml:space="preserve">0% del totale. Alla crescita organica si associa quella per linee </w:t>
      </w:r>
      <w:r w:rsidR="00986A8A" w:rsidRPr="00242416">
        <w:rPr>
          <w:rFonts w:ascii="Times New Roman" w:hAnsi="Times New Roman" w:cs="Times New Roman"/>
          <w:i/>
          <w:iCs/>
        </w:rPr>
        <w:t>esterne</w:t>
      </w:r>
      <w:r w:rsidR="006C37D3" w:rsidRPr="00242416">
        <w:rPr>
          <w:rFonts w:ascii="Times New Roman" w:hAnsi="Times New Roman" w:cs="Times New Roman"/>
          <w:i/>
          <w:iCs/>
        </w:rPr>
        <w:t>: l’acquisizione di Banca Consulia sarà finalizzata nel secondo trimestre ampliando il perimetro del Gruppo al private banki</w:t>
      </w:r>
      <w:r w:rsidR="00C024A1">
        <w:rPr>
          <w:rFonts w:ascii="Times New Roman" w:hAnsi="Times New Roman" w:cs="Times New Roman"/>
          <w:i/>
          <w:iCs/>
        </w:rPr>
        <w:t>n</w:t>
      </w:r>
      <w:r w:rsidR="006C37D3" w:rsidRPr="00242416">
        <w:rPr>
          <w:rFonts w:ascii="Times New Roman" w:hAnsi="Times New Roman" w:cs="Times New Roman"/>
          <w:i/>
          <w:iCs/>
        </w:rPr>
        <w:t>g.</w:t>
      </w:r>
    </w:p>
    <w:p w14:paraId="334DA71E" w14:textId="77777777" w:rsidR="00747B3D" w:rsidRPr="00747B3D" w:rsidRDefault="00747B3D" w:rsidP="00C700F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E5DC549" w14:textId="1202591D" w:rsidR="00A83C4E" w:rsidRPr="00D25138" w:rsidRDefault="00A83C4E" w:rsidP="00C700F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25138">
        <w:rPr>
          <w:rFonts w:ascii="Times New Roman" w:hAnsi="Times New Roman" w:cs="Times New Roman"/>
          <w:b/>
          <w:bCs/>
          <w:u w:val="single"/>
        </w:rPr>
        <w:t>Sviluppo del business</w:t>
      </w:r>
    </w:p>
    <w:p w14:paraId="1F6CE638" w14:textId="6BE98EF6" w:rsidR="00226167" w:rsidRPr="00D25138" w:rsidRDefault="00226167" w:rsidP="00C700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CB774B" w14:textId="742D47CF" w:rsidR="002E23E1" w:rsidRDefault="00CF1A5C" w:rsidP="00D5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3E1">
        <w:rPr>
          <w:rFonts w:ascii="Times New Roman" w:hAnsi="Times New Roman" w:cs="Times New Roman"/>
        </w:rPr>
        <w:t xml:space="preserve">Nel corso dell’esercizio, nonostante uno scenario </w:t>
      </w:r>
      <w:r w:rsidR="00C10B59" w:rsidRPr="002E23E1">
        <w:rPr>
          <w:rFonts w:ascii="Times New Roman" w:hAnsi="Times New Roman" w:cs="Times New Roman"/>
        </w:rPr>
        <w:t>globale</w:t>
      </w:r>
      <w:r w:rsidRPr="002E23E1">
        <w:rPr>
          <w:rFonts w:ascii="Times New Roman" w:hAnsi="Times New Roman" w:cs="Times New Roman"/>
        </w:rPr>
        <w:t xml:space="preserve"> ancora incerto a causa della pandemia, </w:t>
      </w:r>
      <w:r w:rsidR="00906E29" w:rsidRPr="002E23E1">
        <w:rPr>
          <w:rFonts w:ascii="Times New Roman" w:hAnsi="Times New Roman" w:cs="Times New Roman"/>
        </w:rPr>
        <w:t>Banca Finint</w:t>
      </w:r>
      <w:r w:rsidRPr="002E23E1">
        <w:rPr>
          <w:rFonts w:ascii="Times New Roman" w:hAnsi="Times New Roman" w:cs="Times New Roman"/>
        </w:rPr>
        <w:t xml:space="preserve"> ha </w:t>
      </w:r>
      <w:r w:rsidR="00775F77">
        <w:rPr>
          <w:rFonts w:ascii="Times New Roman" w:hAnsi="Times New Roman" w:cs="Times New Roman"/>
        </w:rPr>
        <w:t>voluto</w:t>
      </w:r>
      <w:r w:rsidR="00C10B59" w:rsidRPr="002E23E1">
        <w:rPr>
          <w:rFonts w:ascii="Times New Roman" w:hAnsi="Times New Roman" w:cs="Times New Roman"/>
        </w:rPr>
        <w:t xml:space="preserve"> </w:t>
      </w:r>
      <w:r w:rsidR="00C10B59" w:rsidRPr="002E23E1">
        <w:rPr>
          <w:rFonts w:ascii="Times New Roman" w:hAnsi="Times New Roman" w:cs="Times New Roman"/>
          <w:b/>
          <w:bCs/>
        </w:rPr>
        <w:t>guardare avanti</w:t>
      </w:r>
      <w:r w:rsidR="00C91ABC" w:rsidRPr="002E23E1">
        <w:rPr>
          <w:rFonts w:ascii="Times New Roman" w:hAnsi="Times New Roman" w:cs="Times New Roman"/>
        </w:rPr>
        <w:t xml:space="preserve"> approvando un </w:t>
      </w:r>
      <w:r w:rsidR="00C91ABC" w:rsidRPr="002E23E1">
        <w:rPr>
          <w:rFonts w:ascii="Times New Roman" w:hAnsi="Times New Roman" w:cs="Times New Roman"/>
          <w:b/>
          <w:bCs/>
        </w:rPr>
        <w:t>piano strategico con orizzonte temporale 2023</w:t>
      </w:r>
      <w:r w:rsidR="00925890" w:rsidRPr="002E23E1">
        <w:rPr>
          <w:rFonts w:ascii="Times New Roman" w:hAnsi="Times New Roman" w:cs="Times New Roman"/>
          <w:b/>
          <w:bCs/>
        </w:rPr>
        <w:t xml:space="preserve">, </w:t>
      </w:r>
      <w:r w:rsidR="002E23E1" w:rsidRPr="002E23E1">
        <w:rPr>
          <w:rFonts w:ascii="Times New Roman" w:hAnsi="Times New Roman" w:cs="Times New Roman"/>
        </w:rPr>
        <w:t xml:space="preserve">implementando un nuovo filone di business legato </w:t>
      </w:r>
      <w:r w:rsidR="002E23E1" w:rsidRPr="002E23E1">
        <w:rPr>
          <w:rFonts w:ascii="Times New Roman" w:hAnsi="Times New Roman" w:cs="Times New Roman"/>
          <w:b/>
          <w:bCs/>
        </w:rPr>
        <w:t>all’acquisto, valorizzazione e gestione di crediti in sofferenza (NPE)</w:t>
      </w:r>
      <w:r w:rsidR="00C91ABC" w:rsidRPr="002E23E1">
        <w:rPr>
          <w:rFonts w:ascii="Times New Roman" w:hAnsi="Times New Roman" w:cs="Times New Roman"/>
        </w:rPr>
        <w:t xml:space="preserve"> e presentando un’</w:t>
      </w:r>
      <w:r w:rsidR="00C91ABC" w:rsidRPr="002E23E1">
        <w:rPr>
          <w:rFonts w:ascii="Times New Roman" w:hAnsi="Times New Roman" w:cs="Times New Roman"/>
          <w:b/>
          <w:bCs/>
        </w:rPr>
        <w:t xml:space="preserve">offerta vincolante </w:t>
      </w:r>
      <w:r w:rsidR="000C15AD">
        <w:rPr>
          <w:rFonts w:ascii="Times New Roman" w:hAnsi="Times New Roman" w:cs="Times New Roman"/>
          <w:b/>
          <w:bCs/>
        </w:rPr>
        <w:t xml:space="preserve">(accettata dalla controparte) </w:t>
      </w:r>
      <w:r w:rsidR="00C91ABC" w:rsidRPr="002E23E1">
        <w:rPr>
          <w:rFonts w:ascii="Times New Roman" w:hAnsi="Times New Roman" w:cs="Times New Roman"/>
          <w:b/>
          <w:bCs/>
        </w:rPr>
        <w:t>per l’acquisizione di Banca Consulia</w:t>
      </w:r>
      <w:r w:rsidR="00995C93" w:rsidRPr="002E23E1">
        <w:rPr>
          <w:rFonts w:ascii="Times New Roman" w:hAnsi="Times New Roman" w:cs="Times New Roman"/>
        </w:rPr>
        <w:t xml:space="preserve">, </w:t>
      </w:r>
      <w:r w:rsidR="00FC6346">
        <w:rPr>
          <w:rFonts w:ascii="Times New Roman" w:hAnsi="Times New Roman" w:cs="Times New Roman"/>
        </w:rPr>
        <w:t>realtà</w:t>
      </w:r>
      <w:r w:rsidR="00995C93" w:rsidRPr="002E23E1">
        <w:rPr>
          <w:rFonts w:ascii="Times New Roman" w:hAnsi="Times New Roman" w:cs="Times New Roman"/>
        </w:rPr>
        <w:t xml:space="preserve"> milanese specializzata nel wealth management e </w:t>
      </w:r>
      <w:r w:rsidR="00906E29" w:rsidRPr="002E23E1">
        <w:rPr>
          <w:rFonts w:ascii="Times New Roman" w:hAnsi="Times New Roman" w:cs="Times New Roman"/>
        </w:rPr>
        <w:t xml:space="preserve">nel </w:t>
      </w:r>
      <w:r w:rsidR="00995C93" w:rsidRPr="002E23E1">
        <w:rPr>
          <w:rFonts w:ascii="Times New Roman" w:hAnsi="Times New Roman" w:cs="Times New Roman"/>
        </w:rPr>
        <w:t xml:space="preserve">private banking. </w:t>
      </w:r>
    </w:p>
    <w:p w14:paraId="5171FA3B" w14:textId="77777777" w:rsidR="002E23E1" w:rsidRDefault="002E23E1" w:rsidP="00D5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2AABCC" w14:textId="1B625BC6" w:rsidR="008754D8" w:rsidRDefault="00995C93" w:rsidP="00D5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3E1">
        <w:rPr>
          <w:rFonts w:ascii="Times New Roman" w:hAnsi="Times New Roman" w:cs="Times New Roman"/>
        </w:rPr>
        <w:t>L’obiettivo che</w:t>
      </w:r>
      <w:r w:rsidR="00906E29" w:rsidRPr="002E23E1">
        <w:rPr>
          <w:rFonts w:ascii="Times New Roman" w:hAnsi="Times New Roman" w:cs="Times New Roman"/>
        </w:rPr>
        <w:t xml:space="preserve"> la Banca si è posta attraverso </w:t>
      </w:r>
      <w:r w:rsidR="00775F77">
        <w:rPr>
          <w:rFonts w:ascii="Times New Roman" w:hAnsi="Times New Roman" w:cs="Times New Roman"/>
        </w:rPr>
        <w:t xml:space="preserve">questi </w:t>
      </w:r>
      <w:r w:rsidR="00906E29" w:rsidRPr="002E23E1">
        <w:rPr>
          <w:rFonts w:ascii="Times New Roman" w:hAnsi="Times New Roman" w:cs="Times New Roman"/>
        </w:rPr>
        <w:t xml:space="preserve">progetti di crescita organica e </w:t>
      </w:r>
      <w:r w:rsidR="00FC6346">
        <w:rPr>
          <w:rFonts w:ascii="Times New Roman" w:hAnsi="Times New Roman" w:cs="Times New Roman"/>
        </w:rPr>
        <w:t xml:space="preserve">per linee esterne </w:t>
      </w:r>
      <w:r w:rsidR="00906E29" w:rsidRPr="002E23E1">
        <w:rPr>
          <w:rFonts w:ascii="Times New Roman" w:hAnsi="Times New Roman" w:cs="Times New Roman"/>
        </w:rPr>
        <w:t>è quello</w:t>
      </w:r>
      <w:r w:rsidRPr="002E23E1">
        <w:rPr>
          <w:rFonts w:ascii="Times New Roman" w:hAnsi="Times New Roman" w:cs="Times New Roman"/>
        </w:rPr>
        <w:t xml:space="preserve"> di diventare </w:t>
      </w:r>
      <w:r w:rsidR="007E5BF6">
        <w:rPr>
          <w:rFonts w:ascii="Times New Roman" w:hAnsi="Times New Roman" w:cs="Times New Roman"/>
        </w:rPr>
        <w:t>un</w:t>
      </w:r>
      <w:r w:rsidRPr="002E23E1">
        <w:rPr>
          <w:rFonts w:ascii="Times New Roman" w:hAnsi="Times New Roman" w:cs="Times New Roman"/>
        </w:rPr>
        <w:t xml:space="preserve"> </w:t>
      </w:r>
      <w:r w:rsidRPr="002E23E1">
        <w:rPr>
          <w:rFonts w:ascii="Times New Roman" w:hAnsi="Times New Roman" w:cs="Times New Roman"/>
          <w:b/>
          <w:bCs/>
        </w:rPr>
        <w:t xml:space="preserve">gruppo di riferimento per </w:t>
      </w:r>
      <w:r w:rsidR="00FC6346">
        <w:rPr>
          <w:rFonts w:ascii="Times New Roman" w:hAnsi="Times New Roman" w:cs="Times New Roman"/>
          <w:b/>
          <w:bCs/>
        </w:rPr>
        <w:t>famiglie</w:t>
      </w:r>
      <w:r w:rsidRPr="002E23E1">
        <w:rPr>
          <w:rFonts w:ascii="Times New Roman" w:hAnsi="Times New Roman" w:cs="Times New Roman"/>
          <w:b/>
          <w:bCs/>
        </w:rPr>
        <w:t xml:space="preserve"> </w:t>
      </w:r>
      <w:r w:rsidR="00FC6346">
        <w:rPr>
          <w:rFonts w:ascii="Times New Roman" w:hAnsi="Times New Roman" w:cs="Times New Roman"/>
          <w:b/>
          <w:bCs/>
        </w:rPr>
        <w:t xml:space="preserve">imprenditoriali </w:t>
      </w:r>
      <w:r w:rsidRPr="002E23E1">
        <w:rPr>
          <w:rFonts w:ascii="Times New Roman" w:hAnsi="Times New Roman" w:cs="Times New Roman"/>
          <w:b/>
          <w:bCs/>
        </w:rPr>
        <w:t>e impres</w:t>
      </w:r>
      <w:r w:rsidR="00FC6346">
        <w:rPr>
          <w:rFonts w:ascii="Times New Roman" w:hAnsi="Times New Roman" w:cs="Times New Roman"/>
          <w:b/>
          <w:bCs/>
        </w:rPr>
        <w:t>e</w:t>
      </w:r>
      <w:r w:rsidR="00906E29" w:rsidRPr="002E23E1">
        <w:rPr>
          <w:rFonts w:ascii="Times New Roman" w:hAnsi="Times New Roman" w:cs="Times New Roman"/>
        </w:rPr>
        <w:t xml:space="preserve"> grazie a servizi integrati</w:t>
      </w:r>
      <w:r w:rsidR="00775F77">
        <w:rPr>
          <w:rFonts w:ascii="Times New Roman" w:hAnsi="Times New Roman" w:cs="Times New Roman"/>
        </w:rPr>
        <w:t xml:space="preserve">, </w:t>
      </w:r>
      <w:r w:rsidR="00906E29" w:rsidRPr="002E23E1">
        <w:rPr>
          <w:rFonts w:ascii="Times New Roman" w:hAnsi="Times New Roman" w:cs="Times New Roman"/>
        </w:rPr>
        <w:t>qualificati</w:t>
      </w:r>
      <w:r w:rsidR="00775F77">
        <w:rPr>
          <w:rFonts w:ascii="Times New Roman" w:hAnsi="Times New Roman" w:cs="Times New Roman"/>
        </w:rPr>
        <w:t xml:space="preserve"> e altamente specializzati </w:t>
      </w:r>
      <w:r w:rsidR="00775F77" w:rsidRPr="002E23E1">
        <w:rPr>
          <w:rFonts w:ascii="Times New Roman" w:hAnsi="Times New Roman" w:cs="Times New Roman"/>
        </w:rPr>
        <w:t>rivolti all</w:t>
      </w:r>
      <w:r w:rsidR="00775F77">
        <w:rPr>
          <w:rFonts w:ascii="Times New Roman" w:hAnsi="Times New Roman" w:cs="Times New Roman"/>
        </w:rPr>
        <w:t xml:space="preserve">’azienda </w:t>
      </w:r>
      <w:r w:rsidR="00775F77" w:rsidRPr="002E23E1">
        <w:rPr>
          <w:rFonts w:ascii="Times New Roman" w:hAnsi="Times New Roman" w:cs="Times New Roman"/>
        </w:rPr>
        <w:t>ne</w:t>
      </w:r>
      <w:r w:rsidR="00FC6346">
        <w:rPr>
          <w:rFonts w:ascii="Times New Roman" w:hAnsi="Times New Roman" w:cs="Times New Roman"/>
        </w:rPr>
        <w:t>ll’area</w:t>
      </w:r>
      <w:r w:rsidR="00775F77" w:rsidRPr="002E23E1">
        <w:rPr>
          <w:rFonts w:ascii="Times New Roman" w:hAnsi="Times New Roman" w:cs="Times New Roman"/>
        </w:rPr>
        <w:t xml:space="preserve"> del Corporate &amp; Investment Banking</w:t>
      </w:r>
      <w:r w:rsidR="00906E29" w:rsidRPr="002E23E1">
        <w:rPr>
          <w:rFonts w:ascii="Times New Roman" w:hAnsi="Times New Roman" w:cs="Times New Roman"/>
        </w:rPr>
        <w:t xml:space="preserve"> </w:t>
      </w:r>
      <w:r w:rsidR="00775F77">
        <w:rPr>
          <w:rFonts w:ascii="Times New Roman" w:hAnsi="Times New Roman" w:cs="Times New Roman"/>
        </w:rPr>
        <w:t xml:space="preserve">e </w:t>
      </w:r>
      <w:r w:rsidR="00FC6346">
        <w:rPr>
          <w:rFonts w:ascii="Times New Roman" w:hAnsi="Times New Roman" w:cs="Times New Roman"/>
        </w:rPr>
        <w:t>a soluzioni per la</w:t>
      </w:r>
      <w:r w:rsidR="00906E29" w:rsidRPr="002E23E1">
        <w:rPr>
          <w:rFonts w:ascii="Times New Roman" w:hAnsi="Times New Roman" w:cs="Times New Roman"/>
        </w:rPr>
        <w:t xml:space="preserve"> </w:t>
      </w:r>
      <w:r w:rsidR="00906E29" w:rsidRPr="002E23E1">
        <w:rPr>
          <w:rFonts w:ascii="Times New Roman" w:hAnsi="Times New Roman" w:cs="Times New Roman"/>
          <w:b/>
          <w:bCs/>
        </w:rPr>
        <w:t>gestione del patrimonio</w:t>
      </w:r>
      <w:r w:rsidR="00FC6346">
        <w:rPr>
          <w:rFonts w:ascii="Times New Roman" w:hAnsi="Times New Roman" w:cs="Times New Roman"/>
          <w:b/>
          <w:bCs/>
        </w:rPr>
        <w:t xml:space="preserve"> dell’imprenditore </w:t>
      </w:r>
      <w:r w:rsidR="00FC6346" w:rsidRPr="00FC6346">
        <w:rPr>
          <w:rFonts w:ascii="Times New Roman" w:hAnsi="Times New Roman" w:cs="Times New Roman"/>
        </w:rPr>
        <w:t xml:space="preserve">che </w:t>
      </w:r>
      <w:r w:rsidR="00FC6346">
        <w:rPr>
          <w:rFonts w:ascii="Times New Roman" w:hAnsi="Times New Roman" w:cs="Times New Roman"/>
        </w:rPr>
        <w:t>facciano</w:t>
      </w:r>
      <w:r w:rsidR="00FC6346" w:rsidRPr="00FC6346">
        <w:rPr>
          <w:rFonts w:ascii="Times New Roman" w:hAnsi="Times New Roman" w:cs="Times New Roman"/>
        </w:rPr>
        <w:t xml:space="preserve"> </w:t>
      </w:r>
      <w:r w:rsidR="00FC6346" w:rsidRPr="008754D8">
        <w:rPr>
          <w:rFonts w:ascii="Times New Roman" w:hAnsi="Times New Roman" w:cs="Times New Roman"/>
        </w:rPr>
        <w:t>leva</w:t>
      </w:r>
      <w:r w:rsidR="006C37D3">
        <w:rPr>
          <w:rFonts w:ascii="Times New Roman" w:hAnsi="Times New Roman" w:cs="Times New Roman"/>
        </w:rPr>
        <w:t xml:space="preserve"> anche</w:t>
      </w:r>
      <w:r w:rsidR="008754D8">
        <w:rPr>
          <w:rFonts w:ascii="Times New Roman" w:hAnsi="Times New Roman" w:cs="Times New Roman"/>
          <w:b/>
          <w:bCs/>
        </w:rPr>
        <w:t xml:space="preserve"> </w:t>
      </w:r>
      <w:r w:rsidR="00FC6346">
        <w:rPr>
          <w:rFonts w:ascii="Times New Roman" w:hAnsi="Times New Roman" w:cs="Times New Roman"/>
        </w:rPr>
        <w:t>sulle storiche competenze nei real asset d</w:t>
      </w:r>
      <w:r w:rsidR="00986A8A">
        <w:rPr>
          <w:rFonts w:ascii="Times New Roman" w:hAnsi="Times New Roman" w:cs="Times New Roman"/>
        </w:rPr>
        <w:t xml:space="preserve">i Finint </w:t>
      </w:r>
      <w:r w:rsidR="00003D25">
        <w:rPr>
          <w:rFonts w:ascii="Times New Roman" w:hAnsi="Times New Roman" w:cs="Times New Roman"/>
        </w:rPr>
        <w:t xml:space="preserve">Investments </w:t>
      </w:r>
      <w:r w:rsidR="00986A8A">
        <w:rPr>
          <w:rFonts w:ascii="Times New Roman" w:hAnsi="Times New Roman" w:cs="Times New Roman"/>
        </w:rPr>
        <w:t>SGR</w:t>
      </w:r>
      <w:r w:rsidR="00906E29" w:rsidRPr="002E23E1">
        <w:rPr>
          <w:rFonts w:ascii="Times New Roman" w:hAnsi="Times New Roman" w:cs="Times New Roman"/>
        </w:rPr>
        <w:t xml:space="preserve">. </w:t>
      </w:r>
    </w:p>
    <w:p w14:paraId="08E905D7" w14:textId="77777777" w:rsidR="008754D8" w:rsidRDefault="008754D8" w:rsidP="00D5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E9E013" w14:textId="4F5B83AE" w:rsidR="00D54BF0" w:rsidRPr="002E23E1" w:rsidRDefault="00906E29" w:rsidP="00D5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3E1">
        <w:rPr>
          <w:rFonts w:ascii="Times New Roman" w:hAnsi="Times New Roman" w:cs="Times New Roman"/>
        </w:rPr>
        <w:lastRenderedPageBreak/>
        <w:t xml:space="preserve">Sul piano della sostenibilità e redditività del business </w:t>
      </w:r>
      <w:r w:rsidR="00C91ABC" w:rsidRPr="002E23E1">
        <w:rPr>
          <w:rFonts w:ascii="Times New Roman" w:hAnsi="Times New Roman" w:cs="Times New Roman"/>
        </w:rPr>
        <w:t xml:space="preserve">l’obiettivo </w:t>
      </w:r>
      <w:r w:rsidR="008754D8">
        <w:rPr>
          <w:rFonts w:ascii="Times New Roman" w:hAnsi="Times New Roman" w:cs="Times New Roman"/>
        </w:rPr>
        <w:t xml:space="preserve">invece </w:t>
      </w:r>
      <w:r w:rsidRPr="002E23E1">
        <w:rPr>
          <w:rFonts w:ascii="Times New Roman" w:hAnsi="Times New Roman" w:cs="Times New Roman"/>
        </w:rPr>
        <w:t>è</w:t>
      </w:r>
      <w:r w:rsidR="008754D8">
        <w:rPr>
          <w:rFonts w:ascii="Times New Roman" w:hAnsi="Times New Roman" w:cs="Times New Roman"/>
        </w:rPr>
        <w:t xml:space="preserve">, </w:t>
      </w:r>
      <w:r w:rsidR="00D54BF0" w:rsidRPr="002E23E1">
        <w:rPr>
          <w:rFonts w:ascii="Times New Roman" w:hAnsi="Times New Roman" w:cs="Times New Roman"/>
        </w:rPr>
        <w:t xml:space="preserve">da una parte </w:t>
      </w:r>
      <w:r w:rsidRPr="002E23E1">
        <w:rPr>
          <w:rFonts w:ascii="Times New Roman" w:hAnsi="Times New Roman" w:cs="Times New Roman"/>
        </w:rPr>
        <w:t xml:space="preserve">la </w:t>
      </w:r>
      <w:r w:rsidR="00C10B59" w:rsidRPr="002E23E1">
        <w:rPr>
          <w:rFonts w:ascii="Times New Roman" w:hAnsi="Times New Roman" w:cs="Times New Roman"/>
          <w:b/>
          <w:bCs/>
        </w:rPr>
        <w:t>diversifica</w:t>
      </w:r>
      <w:r w:rsidRPr="002E23E1">
        <w:rPr>
          <w:rFonts w:ascii="Times New Roman" w:hAnsi="Times New Roman" w:cs="Times New Roman"/>
          <w:b/>
          <w:bCs/>
        </w:rPr>
        <w:t xml:space="preserve">zione delle </w:t>
      </w:r>
      <w:r w:rsidR="00C10B59" w:rsidRPr="002E23E1">
        <w:rPr>
          <w:rFonts w:ascii="Times New Roman" w:hAnsi="Times New Roman" w:cs="Times New Roman"/>
          <w:b/>
          <w:bCs/>
        </w:rPr>
        <w:t>fonti di ricavo</w:t>
      </w:r>
      <w:r w:rsidRPr="002E23E1">
        <w:rPr>
          <w:rFonts w:ascii="Times New Roman" w:hAnsi="Times New Roman" w:cs="Times New Roman"/>
        </w:rPr>
        <w:t xml:space="preserve"> attraverso </w:t>
      </w:r>
      <w:r w:rsidR="00C10B59" w:rsidRPr="002E23E1">
        <w:rPr>
          <w:rFonts w:ascii="Times New Roman" w:hAnsi="Times New Roman" w:cs="Times New Roman"/>
        </w:rPr>
        <w:t>la crescita ne</w:t>
      </w:r>
      <w:r w:rsidR="00FC6346">
        <w:rPr>
          <w:rFonts w:ascii="Times New Roman" w:hAnsi="Times New Roman" w:cs="Times New Roman"/>
        </w:rPr>
        <w:t>lle attività</w:t>
      </w:r>
      <w:r w:rsidR="00C10B59" w:rsidRPr="002E23E1">
        <w:rPr>
          <w:rFonts w:ascii="Times New Roman" w:hAnsi="Times New Roman" w:cs="Times New Roman"/>
        </w:rPr>
        <w:t xml:space="preserve"> core </w:t>
      </w:r>
      <w:r w:rsidR="002E23E1">
        <w:rPr>
          <w:rFonts w:ascii="Times New Roman" w:hAnsi="Times New Roman" w:cs="Times New Roman"/>
        </w:rPr>
        <w:t xml:space="preserve">e l’avvio di </w:t>
      </w:r>
      <w:r w:rsidR="002E23E1" w:rsidRPr="00D25138">
        <w:rPr>
          <w:rFonts w:ascii="Times New Roman" w:hAnsi="Times New Roman" w:cs="Times New Roman"/>
        </w:rPr>
        <w:t>business sinergici e complementari rispetto a</w:t>
      </w:r>
      <w:r w:rsidR="00FC6346">
        <w:rPr>
          <w:rFonts w:ascii="Times New Roman" w:hAnsi="Times New Roman" w:cs="Times New Roman"/>
        </w:rPr>
        <w:t xml:space="preserve"> quanto</w:t>
      </w:r>
      <w:r w:rsidR="002E23E1" w:rsidRPr="00D25138">
        <w:rPr>
          <w:rFonts w:ascii="Times New Roman" w:hAnsi="Times New Roman" w:cs="Times New Roman"/>
        </w:rPr>
        <w:t xml:space="preserve"> già </w:t>
      </w:r>
      <w:r w:rsidR="002E23E1">
        <w:rPr>
          <w:rFonts w:ascii="Times New Roman" w:hAnsi="Times New Roman" w:cs="Times New Roman"/>
        </w:rPr>
        <w:t>in essere, quali l’</w:t>
      </w:r>
      <w:r w:rsidR="008754D8">
        <w:rPr>
          <w:rFonts w:ascii="Times New Roman" w:hAnsi="Times New Roman" w:cs="Times New Roman"/>
        </w:rPr>
        <w:t>operatività</w:t>
      </w:r>
      <w:r w:rsidR="002E23E1">
        <w:rPr>
          <w:rFonts w:ascii="Times New Roman" w:hAnsi="Times New Roman" w:cs="Times New Roman"/>
        </w:rPr>
        <w:t xml:space="preserve"> sugli NPE </w:t>
      </w:r>
      <w:r w:rsidR="00C10B59" w:rsidRPr="002E23E1">
        <w:rPr>
          <w:rFonts w:ascii="Times New Roman" w:hAnsi="Times New Roman" w:cs="Times New Roman"/>
        </w:rPr>
        <w:t>e</w:t>
      </w:r>
      <w:r w:rsidR="008754D8">
        <w:rPr>
          <w:rFonts w:ascii="Times New Roman" w:hAnsi="Times New Roman" w:cs="Times New Roman"/>
        </w:rPr>
        <w:t xml:space="preserve">, </w:t>
      </w:r>
      <w:r w:rsidR="00D54BF0" w:rsidRPr="002E23E1">
        <w:rPr>
          <w:rFonts w:ascii="Times New Roman" w:hAnsi="Times New Roman" w:cs="Times New Roman"/>
        </w:rPr>
        <w:t>dall’altra</w:t>
      </w:r>
      <w:r w:rsidR="008754D8">
        <w:rPr>
          <w:rFonts w:ascii="Times New Roman" w:hAnsi="Times New Roman" w:cs="Times New Roman"/>
        </w:rPr>
        <w:t>,</w:t>
      </w:r>
      <w:r w:rsidR="00D54BF0" w:rsidRPr="002E23E1">
        <w:rPr>
          <w:rFonts w:ascii="Times New Roman" w:hAnsi="Times New Roman" w:cs="Times New Roman"/>
        </w:rPr>
        <w:t xml:space="preserve"> </w:t>
      </w:r>
      <w:r w:rsidR="00470BE7" w:rsidRPr="002E23E1">
        <w:rPr>
          <w:rFonts w:ascii="Times New Roman" w:hAnsi="Times New Roman" w:cs="Times New Roman"/>
        </w:rPr>
        <w:t xml:space="preserve">l’integrazione di </w:t>
      </w:r>
      <w:r w:rsidR="008754D8">
        <w:rPr>
          <w:rFonts w:ascii="Times New Roman" w:hAnsi="Times New Roman" w:cs="Times New Roman"/>
          <w:b/>
          <w:bCs/>
        </w:rPr>
        <w:t>business</w:t>
      </w:r>
      <w:r w:rsidR="00470BE7" w:rsidRPr="002E23E1">
        <w:rPr>
          <w:rFonts w:ascii="Times New Roman" w:hAnsi="Times New Roman" w:cs="Times New Roman"/>
          <w:b/>
          <w:bCs/>
        </w:rPr>
        <w:t xml:space="preserve"> </w:t>
      </w:r>
      <w:r w:rsidR="008754D8">
        <w:rPr>
          <w:rFonts w:ascii="Times New Roman" w:hAnsi="Times New Roman" w:cs="Times New Roman"/>
          <w:b/>
          <w:bCs/>
        </w:rPr>
        <w:t>ad alto valore aggiunto</w:t>
      </w:r>
      <w:r w:rsidR="00470BE7" w:rsidRPr="002E23E1">
        <w:rPr>
          <w:rFonts w:ascii="Times New Roman" w:hAnsi="Times New Roman" w:cs="Times New Roman"/>
          <w:b/>
          <w:bCs/>
        </w:rPr>
        <w:t xml:space="preserve"> e con un importante livello di resilienza e ricorrenza degli utili</w:t>
      </w:r>
      <w:r w:rsidR="00470BE7" w:rsidRPr="002E23E1">
        <w:rPr>
          <w:rFonts w:ascii="Times New Roman" w:hAnsi="Times New Roman" w:cs="Times New Roman"/>
        </w:rPr>
        <w:t>, rappresentate dal</w:t>
      </w:r>
      <w:r w:rsidR="00E15537" w:rsidRPr="002E23E1">
        <w:rPr>
          <w:rFonts w:ascii="Times New Roman" w:hAnsi="Times New Roman" w:cs="Times New Roman"/>
        </w:rPr>
        <w:t xml:space="preserve"> wealth management</w:t>
      </w:r>
      <w:r w:rsidR="000C15AD">
        <w:rPr>
          <w:rFonts w:ascii="Times New Roman" w:hAnsi="Times New Roman" w:cs="Times New Roman"/>
        </w:rPr>
        <w:t xml:space="preserve"> e dal private banking</w:t>
      </w:r>
      <w:r w:rsidR="00470BE7" w:rsidRPr="002E23E1">
        <w:rPr>
          <w:rFonts w:ascii="Times New Roman" w:hAnsi="Times New Roman" w:cs="Times New Roman"/>
        </w:rPr>
        <w:t>.</w:t>
      </w:r>
      <w:r w:rsidR="00D54BF0" w:rsidRPr="002E23E1">
        <w:rPr>
          <w:rFonts w:ascii="Times New Roman" w:hAnsi="Times New Roman" w:cs="Times New Roman"/>
        </w:rPr>
        <w:t xml:space="preserve"> </w:t>
      </w:r>
    </w:p>
    <w:p w14:paraId="55EC43A8" w14:textId="77777777" w:rsidR="00D25138" w:rsidRPr="00D25138" w:rsidRDefault="00D25138" w:rsidP="00D5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ECD98C" w14:textId="41B18FB8" w:rsidR="00A83C4E" w:rsidRPr="00D25138" w:rsidRDefault="00E20BD3" w:rsidP="00206A3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25138">
        <w:rPr>
          <w:rFonts w:ascii="Times New Roman" w:hAnsi="Times New Roman" w:cs="Times New Roman"/>
          <w:b/>
          <w:bCs/>
          <w:u w:val="single"/>
        </w:rPr>
        <w:t>Risultati 2021</w:t>
      </w:r>
    </w:p>
    <w:p w14:paraId="046BFF5D" w14:textId="77777777" w:rsidR="00A83C4E" w:rsidRPr="00D25138" w:rsidRDefault="00A83C4E" w:rsidP="00206A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EA0D86" w14:textId="3C0D718A" w:rsidR="00A83C4E" w:rsidRPr="00D25138" w:rsidRDefault="00A83C4E" w:rsidP="002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5138">
        <w:rPr>
          <w:rFonts w:ascii="Times New Roman" w:hAnsi="Times New Roman" w:cs="Times New Roman"/>
        </w:rPr>
        <w:t>Di seguito si illustrano i risultati consolidati di Banca Finint per l’anno 2021, confronta</w:t>
      </w:r>
      <w:r w:rsidR="00D25138">
        <w:rPr>
          <w:rFonts w:ascii="Times New Roman" w:hAnsi="Times New Roman" w:cs="Times New Roman"/>
        </w:rPr>
        <w:t>t</w:t>
      </w:r>
      <w:r w:rsidRPr="00D25138">
        <w:rPr>
          <w:rFonts w:ascii="Times New Roman" w:hAnsi="Times New Roman" w:cs="Times New Roman"/>
        </w:rPr>
        <w:t xml:space="preserve">i con i risultati consolidati dell’anno precedente. </w:t>
      </w:r>
    </w:p>
    <w:p w14:paraId="6D8B6A6F" w14:textId="77777777" w:rsidR="00A83C4E" w:rsidRPr="00D25138" w:rsidRDefault="00A83C4E" w:rsidP="00206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17F9A" w14:textId="231BA623" w:rsidR="00254C4D" w:rsidRPr="00D25138" w:rsidRDefault="00254C4D" w:rsidP="00206A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25138">
        <w:rPr>
          <w:rFonts w:ascii="Times New Roman" w:hAnsi="Times New Roman" w:cs="Times New Roman"/>
          <w:b/>
          <w:bCs/>
          <w:sz w:val="22"/>
          <w:szCs w:val="22"/>
        </w:rPr>
        <w:t xml:space="preserve">Il Margine finanziario e da servizi </w:t>
      </w:r>
      <w:r w:rsidRPr="00D25138">
        <w:rPr>
          <w:rFonts w:ascii="Times New Roman" w:hAnsi="Times New Roman" w:cs="Times New Roman"/>
          <w:sz w:val="22"/>
          <w:szCs w:val="22"/>
        </w:rPr>
        <w:t xml:space="preserve">ammonta a </w:t>
      </w:r>
      <w:r w:rsidR="006E05E9" w:rsidRPr="00D25138">
        <w:rPr>
          <w:rFonts w:ascii="Times New Roman" w:hAnsi="Times New Roman" w:cs="Times New Roman"/>
          <w:sz w:val="22"/>
          <w:szCs w:val="22"/>
        </w:rPr>
        <w:t>€</w:t>
      </w:r>
      <w:r w:rsidR="00D92420" w:rsidRPr="00D25138">
        <w:rPr>
          <w:rFonts w:ascii="Times New Roman" w:hAnsi="Times New Roman" w:cs="Times New Roman"/>
          <w:sz w:val="22"/>
          <w:szCs w:val="22"/>
        </w:rPr>
        <w:t>61</w:t>
      </w:r>
      <w:r w:rsidR="00C024A1">
        <w:rPr>
          <w:rFonts w:ascii="Times New Roman" w:hAnsi="Times New Roman" w:cs="Times New Roman"/>
          <w:sz w:val="22"/>
          <w:szCs w:val="22"/>
        </w:rPr>
        <w:t>,</w:t>
      </w:r>
      <w:r w:rsidR="00D92420" w:rsidRPr="00D25138">
        <w:rPr>
          <w:rFonts w:ascii="Times New Roman" w:hAnsi="Times New Roman" w:cs="Times New Roman"/>
          <w:sz w:val="22"/>
          <w:szCs w:val="22"/>
        </w:rPr>
        <w:t>5</w:t>
      </w:r>
      <w:r w:rsidR="00C024A1">
        <w:rPr>
          <w:rFonts w:ascii="Times New Roman" w:hAnsi="Times New Roman" w:cs="Times New Roman"/>
          <w:sz w:val="22"/>
          <w:szCs w:val="22"/>
        </w:rPr>
        <w:t xml:space="preserve"> </w:t>
      </w:r>
      <w:r w:rsidR="006E05E9" w:rsidRPr="00D25138">
        <w:rPr>
          <w:rFonts w:ascii="Times New Roman" w:hAnsi="Times New Roman" w:cs="Times New Roman"/>
          <w:sz w:val="22"/>
          <w:szCs w:val="22"/>
        </w:rPr>
        <w:t>m</w:t>
      </w:r>
      <w:r w:rsidR="00C024A1">
        <w:rPr>
          <w:rFonts w:ascii="Times New Roman" w:hAnsi="Times New Roman" w:cs="Times New Roman"/>
          <w:sz w:val="22"/>
          <w:szCs w:val="22"/>
        </w:rPr>
        <w:t>ilioni</w:t>
      </w:r>
      <w:r w:rsidR="006E05E9" w:rsidRPr="00D25138">
        <w:rPr>
          <w:rFonts w:ascii="Times New Roman" w:hAnsi="Times New Roman" w:cs="Times New Roman"/>
          <w:sz w:val="22"/>
          <w:szCs w:val="22"/>
        </w:rPr>
        <w:t xml:space="preserve">, in crescita del </w:t>
      </w:r>
      <w:r w:rsidR="00003D25">
        <w:rPr>
          <w:rFonts w:ascii="Times New Roman" w:hAnsi="Times New Roman" w:cs="Times New Roman"/>
          <w:sz w:val="22"/>
          <w:szCs w:val="22"/>
        </w:rPr>
        <w:t>8,9</w:t>
      </w:r>
      <w:r w:rsidR="006E05E9" w:rsidRPr="00D25138">
        <w:rPr>
          <w:rFonts w:ascii="Times New Roman" w:hAnsi="Times New Roman" w:cs="Times New Roman"/>
          <w:sz w:val="22"/>
          <w:szCs w:val="22"/>
        </w:rPr>
        <w:t xml:space="preserve">% a/a. </w:t>
      </w:r>
      <w:r w:rsidRPr="00D25138">
        <w:rPr>
          <w:rFonts w:ascii="Times New Roman" w:hAnsi="Times New Roman" w:cs="Times New Roman"/>
          <w:sz w:val="22"/>
          <w:szCs w:val="22"/>
        </w:rPr>
        <w:t>La componente economica più incisiva rimangono i ricavi per commissioni che</w:t>
      </w:r>
      <w:r w:rsidR="00AD2381">
        <w:rPr>
          <w:rFonts w:ascii="Times New Roman" w:hAnsi="Times New Roman" w:cs="Times New Roman"/>
          <w:sz w:val="22"/>
          <w:szCs w:val="22"/>
        </w:rPr>
        <w:t>,</w:t>
      </w:r>
      <w:r w:rsidRPr="00D25138">
        <w:rPr>
          <w:rFonts w:ascii="Times New Roman" w:hAnsi="Times New Roman" w:cs="Times New Roman"/>
          <w:sz w:val="22"/>
          <w:szCs w:val="22"/>
        </w:rPr>
        <w:t xml:space="preserve"> a fine esercizio</w:t>
      </w:r>
      <w:r w:rsidR="00AD2381">
        <w:rPr>
          <w:rFonts w:ascii="Times New Roman" w:hAnsi="Times New Roman" w:cs="Times New Roman"/>
          <w:sz w:val="22"/>
          <w:szCs w:val="22"/>
        </w:rPr>
        <w:t>,</w:t>
      </w:r>
      <w:r w:rsidRPr="00D25138">
        <w:rPr>
          <w:rFonts w:ascii="Times New Roman" w:hAnsi="Times New Roman" w:cs="Times New Roman"/>
          <w:sz w:val="22"/>
          <w:szCs w:val="22"/>
        </w:rPr>
        <w:t xml:space="preserve"> raggiungono </w:t>
      </w:r>
      <w:r w:rsidR="006E05E9" w:rsidRPr="00D25138">
        <w:rPr>
          <w:rFonts w:ascii="Times New Roman" w:hAnsi="Times New Roman" w:cs="Times New Roman"/>
          <w:sz w:val="22"/>
          <w:szCs w:val="22"/>
        </w:rPr>
        <w:t>€54,7m</w:t>
      </w:r>
      <w:r w:rsidR="00C024A1">
        <w:rPr>
          <w:rFonts w:ascii="Times New Roman" w:hAnsi="Times New Roman" w:cs="Times New Roman"/>
          <w:sz w:val="22"/>
          <w:szCs w:val="22"/>
        </w:rPr>
        <w:t>ilioni</w:t>
      </w:r>
      <w:r w:rsidR="006E05E9"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Pr="00D25138">
        <w:rPr>
          <w:rFonts w:ascii="Times New Roman" w:hAnsi="Times New Roman" w:cs="Times New Roman"/>
          <w:sz w:val="22"/>
          <w:szCs w:val="22"/>
        </w:rPr>
        <w:t>(+</w:t>
      </w:r>
      <w:r w:rsidR="006E05E9" w:rsidRPr="00D25138">
        <w:rPr>
          <w:rFonts w:ascii="Times New Roman" w:hAnsi="Times New Roman" w:cs="Times New Roman"/>
          <w:sz w:val="22"/>
          <w:szCs w:val="22"/>
        </w:rPr>
        <w:t>9</w:t>
      </w:r>
      <w:r w:rsidRPr="00D25138">
        <w:rPr>
          <w:rFonts w:ascii="Times New Roman" w:hAnsi="Times New Roman" w:cs="Times New Roman"/>
          <w:sz w:val="22"/>
          <w:szCs w:val="22"/>
        </w:rPr>
        <w:t xml:space="preserve">% rispetto all’anno </w:t>
      </w:r>
      <w:r w:rsidRPr="00E44838">
        <w:rPr>
          <w:rFonts w:ascii="Times New Roman" w:hAnsi="Times New Roman" w:cs="Times New Roman"/>
          <w:sz w:val="22"/>
          <w:szCs w:val="22"/>
        </w:rPr>
        <w:t>precedente)</w:t>
      </w:r>
      <w:r w:rsidR="00003D25" w:rsidRPr="00E44838">
        <w:rPr>
          <w:rFonts w:ascii="Times New Roman" w:hAnsi="Times New Roman" w:cs="Times New Roman"/>
          <w:sz w:val="22"/>
          <w:szCs w:val="22"/>
        </w:rPr>
        <w:t xml:space="preserve"> </w:t>
      </w:r>
      <w:r w:rsidR="00986A8A" w:rsidRPr="00E44838">
        <w:rPr>
          <w:rFonts w:ascii="Times New Roman" w:hAnsi="Times New Roman" w:cs="Times New Roman"/>
          <w:sz w:val="22"/>
          <w:szCs w:val="22"/>
        </w:rPr>
        <w:t xml:space="preserve">e </w:t>
      </w:r>
      <w:r w:rsidR="00986A8A" w:rsidRPr="00393497">
        <w:rPr>
          <w:rFonts w:ascii="Times New Roman" w:hAnsi="Times New Roman" w:cs="Times New Roman"/>
          <w:sz w:val="22"/>
          <w:szCs w:val="22"/>
        </w:rPr>
        <w:t>sono pari al</w:t>
      </w:r>
      <w:r w:rsidR="000C15AD" w:rsidRPr="00393497">
        <w:rPr>
          <w:rFonts w:ascii="Times New Roman" w:hAnsi="Times New Roman" w:cs="Times New Roman"/>
          <w:sz w:val="22"/>
          <w:szCs w:val="22"/>
        </w:rPr>
        <w:t>l’86</w:t>
      </w:r>
      <w:r w:rsidR="00986A8A" w:rsidRPr="00393497">
        <w:rPr>
          <w:rFonts w:ascii="Times New Roman" w:hAnsi="Times New Roman" w:cs="Times New Roman"/>
          <w:sz w:val="22"/>
          <w:szCs w:val="22"/>
        </w:rPr>
        <w:t xml:space="preserve">% del </w:t>
      </w:r>
      <w:r w:rsidR="006D2A43" w:rsidRPr="00393497">
        <w:rPr>
          <w:rFonts w:ascii="Times New Roman" w:hAnsi="Times New Roman" w:cs="Times New Roman"/>
          <w:sz w:val="22"/>
          <w:szCs w:val="22"/>
        </w:rPr>
        <w:t>margine di intermediazione</w:t>
      </w:r>
      <w:r w:rsidR="00986A8A" w:rsidRPr="00393497">
        <w:rPr>
          <w:rFonts w:ascii="Times New Roman" w:hAnsi="Times New Roman" w:cs="Times New Roman"/>
          <w:sz w:val="22"/>
          <w:szCs w:val="22"/>
        </w:rPr>
        <w:t xml:space="preserve"> del Gruppo. In aumento sia </w:t>
      </w:r>
      <w:r w:rsidRPr="00393497">
        <w:rPr>
          <w:rFonts w:ascii="Times New Roman" w:hAnsi="Times New Roman" w:cs="Times New Roman"/>
          <w:sz w:val="22"/>
          <w:szCs w:val="22"/>
        </w:rPr>
        <w:t>le commissioni a</w:t>
      </w:r>
      <w:r w:rsidR="00400C14" w:rsidRPr="00393497">
        <w:rPr>
          <w:rFonts w:ascii="Times New Roman" w:hAnsi="Times New Roman" w:cs="Times New Roman"/>
          <w:sz w:val="22"/>
          <w:szCs w:val="22"/>
        </w:rPr>
        <w:t xml:space="preserve">ttive </w:t>
      </w:r>
      <w:r w:rsidR="009D1302" w:rsidRPr="00393497">
        <w:rPr>
          <w:rFonts w:ascii="Times New Roman" w:hAnsi="Times New Roman" w:cs="Times New Roman"/>
          <w:sz w:val="22"/>
          <w:szCs w:val="22"/>
        </w:rPr>
        <w:t xml:space="preserve">nette </w:t>
      </w:r>
      <w:r w:rsidR="00400C14" w:rsidRPr="00393497">
        <w:rPr>
          <w:rFonts w:ascii="Times New Roman" w:hAnsi="Times New Roman" w:cs="Times New Roman"/>
          <w:sz w:val="22"/>
          <w:szCs w:val="22"/>
        </w:rPr>
        <w:t>realizzate</w:t>
      </w:r>
      <w:r w:rsidR="006E05E9" w:rsidRPr="00393497">
        <w:rPr>
          <w:rFonts w:ascii="Times New Roman" w:hAnsi="Times New Roman" w:cs="Times New Roman"/>
          <w:sz w:val="22"/>
          <w:szCs w:val="22"/>
        </w:rPr>
        <w:t xml:space="preserve"> da Banca Finin</w:t>
      </w:r>
      <w:r w:rsidR="006E05E9" w:rsidRPr="00D25138">
        <w:rPr>
          <w:rFonts w:ascii="Times New Roman" w:hAnsi="Times New Roman" w:cs="Times New Roman"/>
          <w:sz w:val="22"/>
          <w:szCs w:val="22"/>
        </w:rPr>
        <w:t>t</w:t>
      </w:r>
      <w:r w:rsidR="00400C14"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="00550AAE" w:rsidRPr="00D25138">
        <w:rPr>
          <w:rFonts w:ascii="Times New Roman" w:hAnsi="Times New Roman" w:cs="Times New Roman"/>
          <w:sz w:val="22"/>
          <w:szCs w:val="22"/>
        </w:rPr>
        <w:t>(€41</w:t>
      </w:r>
      <w:r w:rsidR="00C024A1">
        <w:rPr>
          <w:rFonts w:ascii="Times New Roman" w:hAnsi="Times New Roman" w:cs="Times New Roman"/>
          <w:sz w:val="22"/>
          <w:szCs w:val="22"/>
        </w:rPr>
        <w:t xml:space="preserve"> </w:t>
      </w:r>
      <w:r w:rsidR="00550AAE" w:rsidRPr="00D25138">
        <w:rPr>
          <w:rFonts w:ascii="Times New Roman" w:hAnsi="Times New Roman" w:cs="Times New Roman"/>
          <w:sz w:val="22"/>
          <w:szCs w:val="22"/>
        </w:rPr>
        <w:t>m</w:t>
      </w:r>
      <w:r w:rsidR="00C024A1">
        <w:rPr>
          <w:rFonts w:ascii="Times New Roman" w:hAnsi="Times New Roman" w:cs="Times New Roman"/>
          <w:sz w:val="22"/>
          <w:szCs w:val="22"/>
        </w:rPr>
        <w:t>ilioni</w:t>
      </w:r>
      <w:r w:rsidR="00550AAE"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="006E05E9" w:rsidRPr="00D25138">
        <w:rPr>
          <w:rFonts w:ascii="Times New Roman" w:hAnsi="Times New Roman" w:cs="Times New Roman"/>
          <w:sz w:val="22"/>
          <w:szCs w:val="22"/>
        </w:rPr>
        <w:t xml:space="preserve">contro </w:t>
      </w:r>
      <w:r w:rsidR="00550AAE" w:rsidRPr="00D25138">
        <w:rPr>
          <w:rFonts w:ascii="Times New Roman" w:hAnsi="Times New Roman" w:cs="Times New Roman"/>
          <w:sz w:val="22"/>
          <w:szCs w:val="22"/>
        </w:rPr>
        <w:t>€37</w:t>
      </w:r>
      <w:r w:rsidR="00C024A1">
        <w:rPr>
          <w:rFonts w:ascii="Times New Roman" w:hAnsi="Times New Roman" w:cs="Times New Roman"/>
          <w:sz w:val="22"/>
          <w:szCs w:val="22"/>
        </w:rPr>
        <w:t xml:space="preserve"> </w:t>
      </w:r>
      <w:r w:rsidR="00550AAE" w:rsidRPr="00D25138">
        <w:rPr>
          <w:rFonts w:ascii="Times New Roman" w:hAnsi="Times New Roman" w:cs="Times New Roman"/>
          <w:sz w:val="22"/>
          <w:szCs w:val="22"/>
        </w:rPr>
        <w:t>m</w:t>
      </w:r>
      <w:r w:rsidR="00C024A1">
        <w:rPr>
          <w:rFonts w:ascii="Times New Roman" w:hAnsi="Times New Roman" w:cs="Times New Roman"/>
          <w:sz w:val="22"/>
          <w:szCs w:val="22"/>
        </w:rPr>
        <w:t>ilioni</w:t>
      </w:r>
      <w:r w:rsidR="00550AAE"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="006E05E9" w:rsidRPr="00D25138">
        <w:rPr>
          <w:rFonts w:ascii="Times New Roman" w:hAnsi="Times New Roman" w:cs="Times New Roman"/>
          <w:sz w:val="22"/>
          <w:szCs w:val="22"/>
        </w:rPr>
        <w:t>del 2020)</w:t>
      </w:r>
      <w:r w:rsidR="00986A8A">
        <w:rPr>
          <w:rFonts w:ascii="Times New Roman" w:hAnsi="Times New Roman" w:cs="Times New Roman"/>
          <w:sz w:val="22"/>
          <w:szCs w:val="22"/>
        </w:rPr>
        <w:t xml:space="preserve"> </w:t>
      </w:r>
      <w:r w:rsidR="00003D25">
        <w:rPr>
          <w:rFonts w:ascii="Times New Roman" w:hAnsi="Times New Roman" w:cs="Times New Roman"/>
          <w:sz w:val="22"/>
          <w:szCs w:val="22"/>
        </w:rPr>
        <w:t>sia</w:t>
      </w:r>
      <w:r w:rsidR="00986A8A">
        <w:rPr>
          <w:rFonts w:ascii="Times New Roman" w:hAnsi="Times New Roman" w:cs="Times New Roman"/>
          <w:sz w:val="22"/>
          <w:szCs w:val="22"/>
        </w:rPr>
        <w:t xml:space="preserve"> quelle di</w:t>
      </w:r>
      <w:r w:rsidR="00285E5E" w:rsidRPr="00D25138">
        <w:rPr>
          <w:rFonts w:ascii="Times New Roman" w:hAnsi="Times New Roman" w:cs="Times New Roman"/>
          <w:sz w:val="22"/>
          <w:szCs w:val="22"/>
        </w:rPr>
        <w:t xml:space="preserve"> Finint Investments SGR </w:t>
      </w:r>
      <w:r w:rsidR="006E05E9" w:rsidRPr="00D25138">
        <w:rPr>
          <w:rFonts w:ascii="Times New Roman" w:hAnsi="Times New Roman" w:cs="Times New Roman"/>
          <w:sz w:val="22"/>
          <w:szCs w:val="22"/>
        </w:rPr>
        <w:t>(</w:t>
      </w:r>
      <w:r w:rsidR="00550AAE" w:rsidRPr="00D25138">
        <w:rPr>
          <w:rFonts w:ascii="Times New Roman" w:hAnsi="Times New Roman" w:cs="Times New Roman"/>
          <w:sz w:val="22"/>
          <w:szCs w:val="22"/>
        </w:rPr>
        <w:t>€</w:t>
      </w:r>
      <w:r w:rsidR="00285E5E" w:rsidRPr="00D25138">
        <w:rPr>
          <w:rFonts w:ascii="Times New Roman" w:hAnsi="Times New Roman" w:cs="Times New Roman"/>
          <w:sz w:val="22"/>
          <w:szCs w:val="22"/>
        </w:rPr>
        <w:t>14</w:t>
      </w:r>
      <w:r w:rsidR="00550AAE" w:rsidRPr="00D25138">
        <w:rPr>
          <w:rFonts w:ascii="Times New Roman" w:hAnsi="Times New Roman" w:cs="Times New Roman"/>
          <w:sz w:val="22"/>
          <w:szCs w:val="22"/>
        </w:rPr>
        <w:t>m</w:t>
      </w:r>
      <w:r w:rsidR="00C024A1">
        <w:rPr>
          <w:rFonts w:ascii="Times New Roman" w:hAnsi="Times New Roman" w:cs="Times New Roman"/>
          <w:sz w:val="22"/>
          <w:szCs w:val="22"/>
        </w:rPr>
        <w:t>ilioni</w:t>
      </w:r>
      <w:r w:rsidR="00550AAE"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="006E05E9" w:rsidRPr="00D25138">
        <w:rPr>
          <w:rFonts w:ascii="Times New Roman" w:hAnsi="Times New Roman" w:cs="Times New Roman"/>
          <w:sz w:val="22"/>
          <w:szCs w:val="22"/>
        </w:rPr>
        <w:t>contro</w:t>
      </w:r>
      <w:r w:rsidR="00550AAE" w:rsidRPr="00D25138">
        <w:rPr>
          <w:rFonts w:ascii="Times New Roman" w:hAnsi="Times New Roman" w:cs="Times New Roman"/>
          <w:sz w:val="22"/>
          <w:szCs w:val="22"/>
        </w:rPr>
        <w:t xml:space="preserve"> €13m</w:t>
      </w:r>
      <w:r w:rsidR="00C024A1">
        <w:rPr>
          <w:rFonts w:ascii="Times New Roman" w:hAnsi="Times New Roman" w:cs="Times New Roman"/>
          <w:sz w:val="22"/>
          <w:szCs w:val="22"/>
        </w:rPr>
        <w:t>ilioni</w:t>
      </w:r>
      <w:r w:rsidR="00550AAE" w:rsidRPr="00D25138">
        <w:rPr>
          <w:rFonts w:ascii="Times New Roman" w:hAnsi="Times New Roman" w:cs="Times New Roman"/>
          <w:sz w:val="22"/>
          <w:szCs w:val="22"/>
        </w:rPr>
        <w:t>).</w:t>
      </w:r>
    </w:p>
    <w:p w14:paraId="1582DB24" w14:textId="77777777" w:rsidR="00C700F1" w:rsidRPr="00D25138" w:rsidRDefault="00C700F1" w:rsidP="00206A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E393460" w14:textId="3BEC4BAB" w:rsidR="00254C4D" w:rsidRPr="00D25138" w:rsidRDefault="00254C4D" w:rsidP="00206A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25138">
        <w:rPr>
          <w:rFonts w:ascii="Times New Roman" w:hAnsi="Times New Roman" w:cs="Times New Roman"/>
          <w:b/>
          <w:bCs/>
          <w:sz w:val="22"/>
          <w:szCs w:val="22"/>
        </w:rPr>
        <w:t>Il margine di intermediazione di Gruppo</w:t>
      </w:r>
      <w:r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Pr="00D25138">
        <w:rPr>
          <w:rFonts w:ascii="Times New Roman" w:hAnsi="Times New Roman" w:cs="Times New Roman"/>
          <w:b/>
          <w:bCs/>
          <w:sz w:val="22"/>
          <w:szCs w:val="22"/>
        </w:rPr>
        <w:t xml:space="preserve">si attesta a </w:t>
      </w:r>
      <w:r w:rsidR="00550AAE" w:rsidRPr="00D25138">
        <w:rPr>
          <w:rFonts w:ascii="Times New Roman" w:hAnsi="Times New Roman" w:cs="Times New Roman"/>
          <w:b/>
          <w:bCs/>
          <w:sz w:val="22"/>
          <w:szCs w:val="22"/>
        </w:rPr>
        <w:t>€63,7</w:t>
      </w:r>
      <w:r w:rsidR="00C024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50AAE" w:rsidRPr="00D25138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C024A1">
        <w:rPr>
          <w:rFonts w:ascii="Times New Roman" w:hAnsi="Times New Roman" w:cs="Times New Roman"/>
          <w:b/>
          <w:bCs/>
          <w:sz w:val="22"/>
          <w:szCs w:val="22"/>
        </w:rPr>
        <w:t>ilioni</w:t>
      </w:r>
      <w:r w:rsidRPr="00D2513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25138">
        <w:rPr>
          <w:rFonts w:ascii="Times New Roman" w:hAnsi="Times New Roman" w:cs="Times New Roman"/>
          <w:sz w:val="22"/>
          <w:szCs w:val="22"/>
        </w:rPr>
        <w:t>con un incremento del</w:t>
      </w:r>
      <w:r w:rsidR="00550AAE" w:rsidRPr="00D25138">
        <w:rPr>
          <w:rFonts w:ascii="Times New Roman" w:hAnsi="Times New Roman" w:cs="Times New Roman"/>
          <w:sz w:val="22"/>
          <w:szCs w:val="22"/>
        </w:rPr>
        <w:t>l’11</w:t>
      </w:r>
      <w:r w:rsidRPr="00D25138">
        <w:rPr>
          <w:rFonts w:ascii="Times New Roman" w:hAnsi="Times New Roman" w:cs="Times New Roman"/>
          <w:sz w:val="22"/>
          <w:szCs w:val="22"/>
        </w:rPr>
        <w:t xml:space="preserve">% rispetto ai </w:t>
      </w:r>
      <w:r w:rsidR="00550AAE" w:rsidRPr="00D25138">
        <w:rPr>
          <w:rFonts w:ascii="Times New Roman" w:hAnsi="Times New Roman" w:cs="Times New Roman"/>
          <w:sz w:val="22"/>
          <w:szCs w:val="22"/>
        </w:rPr>
        <w:t>€</w:t>
      </w:r>
      <w:r w:rsidRPr="00D25138">
        <w:rPr>
          <w:rFonts w:ascii="Times New Roman" w:hAnsi="Times New Roman" w:cs="Times New Roman"/>
          <w:sz w:val="22"/>
          <w:szCs w:val="22"/>
        </w:rPr>
        <w:t>5</w:t>
      </w:r>
      <w:r w:rsidR="00550AAE" w:rsidRPr="00D25138">
        <w:rPr>
          <w:rFonts w:ascii="Times New Roman" w:hAnsi="Times New Roman" w:cs="Times New Roman"/>
          <w:sz w:val="22"/>
          <w:szCs w:val="22"/>
        </w:rPr>
        <w:t>7</w:t>
      </w:r>
      <w:r w:rsidRPr="00D25138">
        <w:rPr>
          <w:rFonts w:ascii="Times New Roman" w:hAnsi="Times New Roman" w:cs="Times New Roman"/>
          <w:sz w:val="22"/>
          <w:szCs w:val="22"/>
        </w:rPr>
        <w:t>,</w:t>
      </w:r>
      <w:r w:rsidR="00550AAE" w:rsidRPr="00D25138">
        <w:rPr>
          <w:rFonts w:ascii="Times New Roman" w:hAnsi="Times New Roman" w:cs="Times New Roman"/>
          <w:sz w:val="22"/>
          <w:szCs w:val="22"/>
        </w:rPr>
        <w:t>4</w:t>
      </w:r>
      <w:r w:rsidR="00C024A1">
        <w:rPr>
          <w:rFonts w:ascii="Times New Roman" w:hAnsi="Times New Roman" w:cs="Times New Roman"/>
          <w:sz w:val="22"/>
          <w:szCs w:val="22"/>
        </w:rPr>
        <w:t xml:space="preserve"> </w:t>
      </w:r>
      <w:r w:rsidR="00550AAE" w:rsidRPr="00D25138">
        <w:rPr>
          <w:rFonts w:ascii="Times New Roman" w:hAnsi="Times New Roman" w:cs="Times New Roman"/>
          <w:sz w:val="22"/>
          <w:szCs w:val="22"/>
        </w:rPr>
        <w:t>m</w:t>
      </w:r>
      <w:r w:rsidR="00C024A1">
        <w:rPr>
          <w:rFonts w:ascii="Times New Roman" w:hAnsi="Times New Roman" w:cs="Times New Roman"/>
          <w:sz w:val="22"/>
          <w:szCs w:val="22"/>
        </w:rPr>
        <w:t>ilioni</w:t>
      </w:r>
      <w:r w:rsidRPr="00D25138">
        <w:rPr>
          <w:rFonts w:ascii="Times New Roman" w:hAnsi="Times New Roman" w:cs="Times New Roman"/>
          <w:sz w:val="22"/>
          <w:szCs w:val="22"/>
        </w:rPr>
        <w:t xml:space="preserve"> registrati nel </w:t>
      </w:r>
      <w:r w:rsidR="00550AAE" w:rsidRPr="00D25138">
        <w:rPr>
          <w:rFonts w:ascii="Times New Roman" w:hAnsi="Times New Roman" w:cs="Times New Roman"/>
          <w:sz w:val="22"/>
          <w:szCs w:val="22"/>
        </w:rPr>
        <w:t>2020</w:t>
      </w:r>
      <w:r w:rsidRPr="00D2513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4898613" w14:textId="77777777" w:rsidR="00C700F1" w:rsidRPr="00D25138" w:rsidRDefault="00C700F1" w:rsidP="00206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B2344" w14:textId="4A46F6E8" w:rsidR="00254C4D" w:rsidRPr="00D25138" w:rsidRDefault="00254C4D" w:rsidP="00206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138">
        <w:rPr>
          <w:rFonts w:ascii="Times New Roman" w:hAnsi="Times New Roman" w:cs="Times New Roman"/>
          <w:b/>
          <w:bCs/>
        </w:rPr>
        <w:t xml:space="preserve">Il Risultato netto della gestione finanziaria e da </w:t>
      </w:r>
      <w:r w:rsidRPr="00D25138">
        <w:rPr>
          <w:rFonts w:ascii="Times New Roman" w:hAnsi="Times New Roman" w:cs="Times New Roman"/>
          <w:b/>
          <w:bCs/>
          <w:color w:val="000000"/>
        </w:rPr>
        <w:t xml:space="preserve">servizi ammonta a </w:t>
      </w:r>
      <w:r w:rsidR="00285E5E" w:rsidRPr="00D25138">
        <w:rPr>
          <w:rFonts w:ascii="Times New Roman" w:hAnsi="Times New Roman" w:cs="Times New Roman"/>
          <w:b/>
          <w:bCs/>
          <w:color w:val="000000"/>
        </w:rPr>
        <w:t>€62</w:t>
      </w:r>
      <w:r w:rsidR="00C024A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85E5E" w:rsidRPr="00D25138">
        <w:rPr>
          <w:rFonts w:ascii="Times New Roman" w:hAnsi="Times New Roman" w:cs="Times New Roman"/>
          <w:b/>
          <w:bCs/>
          <w:color w:val="000000"/>
        </w:rPr>
        <w:t>m</w:t>
      </w:r>
      <w:r w:rsidR="00C024A1">
        <w:rPr>
          <w:rFonts w:ascii="Times New Roman" w:hAnsi="Times New Roman" w:cs="Times New Roman"/>
          <w:b/>
          <w:bCs/>
          <w:color w:val="000000"/>
        </w:rPr>
        <w:t>ilioni</w:t>
      </w:r>
      <w:r w:rsidRPr="00D25138">
        <w:rPr>
          <w:rFonts w:ascii="Times New Roman" w:hAnsi="Times New Roman" w:cs="Times New Roman"/>
        </w:rPr>
        <w:t>, in crescita rispetto al dato del 20</w:t>
      </w:r>
      <w:r w:rsidR="00285E5E" w:rsidRPr="00D25138">
        <w:rPr>
          <w:rFonts w:ascii="Times New Roman" w:hAnsi="Times New Roman" w:cs="Times New Roman"/>
        </w:rPr>
        <w:t>20</w:t>
      </w:r>
      <w:r w:rsidRPr="00D25138">
        <w:rPr>
          <w:rFonts w:ascii="Times New Roman" w:hAnsi="Times New Roman" w:cs="Times New Roman"/>
        </w:rPr>
        <w:t xml:space="preserve"> (</w:t>
      </w:r>
      <w:r w:rsidR="00D92420" w:rsidRPr="00D25138">
        <w:rPr>
          <w:rFonts w:ascii="Times New Roman" w:hAnsi="Times New Roman" w:cs="Times New Roman"/>
        </w:rPr>
        <w:t>€55</w:t>
      </w:r>
      <w:r w:rsidRPr="00D25138">
        <w:rPr>
          <w:rFonts w:ascii="Times New Roman" w:hAnsi="Times New Roman" w:cs="Times New Roman"/>
        </w:rPr>
        <w:t xml:space="preserve"> milioni) con un delta percentuale del </w:t>
      </w:r>
      <w:r w:rsidR="00C700F1" w:rsidRPr="00D25138">
        <w:rPr>
          <w:rFonts w:ascii="Times New Roman" w:hAnsi="Times New Roman" w:cs="Times New Roman"/>
        </w:rPr>
        <w:t>+</w:t>
      </w:r>
      <w:r w:rsidR="00D92420" w:rsidRPr="00D25138">
        <w:rPr>
          <w:rFonts w:ascii="Times New Roman" w:hAnsi="Times New Roman" w:cs="Times New Roman"/>
        </w:rPr>
        <w:t>1</w:t>
      </w:r>
      <w:r w:rsidRPr="00D25138">
        <w:rPr>
          <w:rFonts w:ascii="Times New Roman" w:hAnsi="Times New Roman" w:cs="Times New Roman"/>
        </w:rPr>
        <w:t>2,</w:t>
      </w:r>
      <w:r w:rsidR="00D92420" w:rsidRPr="00D25138">
        <w:rPr>
          <w:rFonts w:ascii="Times New Roman" w:hAnsi="Times New Roman" w:cs="Times New Roman"/>
        </w:rPr>
        <w:t>6</w:t>
      </w:r>
      <w:r w:rsidRPr="00D25138">
        <w:rPr>
          <w:rFonts w:ascii="Times New Roman" w:hAnsi="Times New Roman" w:cs="Times New Roman"/>
        </w:rPr>
        <w:t>%.</w:t>
      </w:r>
    </w:p>
    <w:p w14:paraId="4D860E89" w14:textId="77777777" w:rsidR="00C700F1" w:rsidRPr="00D25138" w:rsidRDefault="00C700F1" w:rsidP="00206A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23729" w14:textId="11CA1190" w:rsidR="00CA6424" w:rsidRDefault="00254C4D" w:rsidP="00206A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25138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="00986A8A">
        <w:rPr>
          <w:rFonts w:ascii="Times New Roman" w:hAnsi="Times New Roman" w:cs="Times New Roman"/>
          <w:b/>
          <w:bCs/>
          <w:sz w:val="22"/>
          <w:szCs w:val="22"/>
        </w:rPr>
        <w:t xml:space="preserve">progetti di crescita del Piano triennale si concretizzano in un aumento dei </w:t>
      </w:r>
      <w:r w:rsidR="00CF1A5C" w:rsidRPr="00D2513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D25138">
        <w:rPr>
          <w:rFonts w:ascii="Times New Roman" w:hAnsi="Times New Roman" w:cs="Times New Roman"/>
          <w:b/>
          <w:bCs/>
          <w:sz w:val="22"/>
          <w:szCs w:val="22"/>
        </w:rPr>
        <w:t>osti operativi di Gruppo</w:t>
      </w:r>
      <w:r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="00986A8A">
        <w:rPr>
          <w:rFonts w:ascii="Times New Roman" w:hAnsi="Times New Roman" w:cs="Times New Roman"/>
          <w:sz w:val="22"/>
          <w:szCs w:val="22"/>
        </w:rPr>
        <w:t xml:space="preserve">che </w:t>
      </w:r>
      <w:r w:rsidRPr="00D25138">
        <w:rPr>
          <w:rFonts w:ascii="Times New Roman" w:hAnsi="Times New Roman" w:cs="Times New Roman"/>
          <w:b/>
          <w:bCs/>
          <w:sz w:val="22"/>
          <w:szCs w:val="22"/>
        </w:rPr>
        <w:t xml:space="preserve">si attestano a fine anno a </w:t>
      </w:r>
      <w:r w:rsidR="00455641" w:rsidRPr="00D25138">
        <w:rPr>
          <w:rFonts w:ascii="Times New Roman" w:hAnsi="Times New Roman" w:cs="Times New Roman"/>
          <w:b/>
          <w:bCs/>
          <w:sz w:val="22"/>
          <w:szCs w:val="22"/>
        </w:rPr>
        <w:t>€41,8</w:t>
      </w:r>
      <w:r w:rsidR="00C024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5641" w:rsidRPr="00D25138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C024A1">
        <w:rPr>
          <w:rFonts w:ascii="Times New Roman" w:hAnsi="Times New Roman" w:cs="Times New Roman"/>
          <w:b/>
          <w:bCs/>
          <w:sz w:val="22"/>
          <w:szCs w:val="22"/>
        </w:rPr>
        <w:t>ilioni</w:t>
      </w:r>
      <w:r w:rsidRPr="00D2513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25138">
        <w:rPr>
          <w:rFonts w:ascii="Times New Roman" w:hAnsi="Times New Roman" w:cs="Times New Roman"/>
          <w:sz w:val="22"/>
          <w:szCs w:val="22"/>
        </w:rPr>
        <w:t xml:space="preserve">in </w:t>
      </w:r>
      <w:r w:rsidR="00986A8A">
        <w:rPr>
          <w:rFonts w:ascii="Times New Roman" w:hAnsi="Times New Roman" w:cs="Times New Roman"/>
          <w:sz w:val="22"/>
          <w:szCs w:val="22"/>
        </w:rPr>
        <w:t>aumento</w:t>
      </w:r>
      <w:r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="00A44AC9" w:rsidRPr="00D25138">
        <w:rPr>
          <w:rFonts w:ascii="Times New Roman" w:hAnsi="Times New Roman" w:cs="Times New Roman"/>
          <w:sz w:val="22"/>
          <w:szCs w:val="22"/>
        </w:rPr>
        <w:t xml:space="preserve">del </w:t>
      </w:r>
      <w:r w:rsidR="00CA6424" w:rsidRPr="00D25138">
        <w:rPr>
          <w:rFonts w:ascii="Times New Roman" w:hAnsi="Times New Roman" w:cs="Times New Roman"/>
          <w:sz w:val="22"/>
          <w:szCs w:val="22"/>
        </w:rPr>
        <w:t>1</w:t>
      </w:r>
      <w:r w:rsidR="00DE109B" w:rsidRPr="00D25138">
        <w:rPr>
          <w:rFonts w:ascii="Times New Roman" w:hAnsi="Times New Roman" w:cs="Times New Roman"/>
          <w:sz w:val="22"/>
          <w:szCs w:val="22"/>
        </w:rPr>
        <w:t>4,2</w:t>
      </w:r>
      <w:r w:rsidR="00CA6424" w:rsidRPr="00D25138">
        <w:rPr>
          <w:rFonts w:ascii="Times New Roman" w:hAnsi="Times New Roman" w:cs="Times New Roman"/>
          <w:sz w:val="22"/>
          <w:szCs w:val="22"/>
        </w:rPr>
        <w:t xml:space="preserve">% </w:t>
      </w:r>
      <w:r w:rsidRPr="00D25138">
        <w:rPr>
          <w:rFonts w:ascii="Times New Roman" w:hAnsi="Times New Roman" w:cs="Times New Roman"/>
          <w:sz w:val="22"/>
          <w:szCs w:val="22"/>
        </w:rPr>
        <w:t xml:space="preserve">rispetto </w:t>
      </w:r>
      <w:r w:rsidR="009001C2">
        <w:rPr>
          <w:rFonts w:ascii="Times New Roman" w:hAnsi="Times New Roman" w:cs="Times New Roman"/>
          <w:sz w:val="22"/>
          <w:szCs w:val="22"/>
        </w:rPr>
        <w:t>al 2020</w:t>
      </w:r>
      <w:r w:rsidR="00DE109B" w:rsidRPr="00D25138">
        <w:rPr>
          <w:rFonts w:ascii="Times New Roman" w:hAnsi="Times New Roman" w:cs="Times New Roman"/>
          <w:sz w:val="22"/>
          <w:szCs w:val="22"/>
        </w:rPr>
        <w:t>. L’incremento</w:t>
      </w:r>
      <w:r w:rsidR="00CA6424" w:rsidRPr="00D25138">
        <w:rPr>
          <w:rFonts w:ascii="Times New Roman" w:hAnsi="Times New Roman" w:cs="Times New Roman"/>
          <w:sz w:val="22"/>
          <w:szCs w:val="22"/>
        </w:rPr>
        <w:t xml:space="preserve"> riflette</w:t>
      </w:r>
      <w:r w:rsidR="00DE109B"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="00FC6346">
        <w:rPr>
          <w:rFonts w:ascii="Times New Roman" w:hAnsi="Times New Roman" w:cs="Times New Roman"/>
          <w:sz w:val="22"/>
          <w:szCs w:val="22"/>
        </w:rPr>
        <w:t>una</w:t>
      </w:r>
      <w:r w:rsidR="00DE109B" w:rsidRPr="00D25138">
        <w:rPr>
          <w:rFonts w:ascii="Times New Roman" w:hAnsi="Times New Roman" w:cs="Times New Roman"/>
          <w:sz w:val="22"/>
          <w:szCs w:val="22"/>
        </w:rPr>
        <w:t xml:space="preserve"> </w:t>
      </w:r>
      <w:r w:rsidR="00DE109B" w:rsidRPr="00D25138">
        <w:rPr>
          <w:rFonts w:ascii="Times New Roman" w:hAnsi="Times New Roman" w:cs="Times New Roman"/>
          <w:b/>
          <w:bCs/>
          <w:sz w:val="22"/>
          <w:szCs w:val="22"/>
        </w:rPr>
        <w:t xml:space="preserve">crescita </w:t>
      </w:r>
      <w:r w:rsidR="00FC6346">
        <w:rPr>
          <w:rFonts w:ascii="Times New Roman" w:hAnsi="Times New Roman" w:cs="Times New Roman"/>
          <w:b/>
          <w:bCs/>
          <w:sz w:val="22"/>
          <w:szCs w:val="22"/>
        </w:rPr>
        <w:t xml:space="preserve">del </w:t>
      </w:r>
      <w:r w:rsidR="00FC6346" w:rsidRPr="00D25138">
        <w:rPr>
          <w:rFonts w:ascii="Times New Roman" w:hAnsi="Times New Roman" w:cs="Times New Roman"/>
          <w:b/>
          <w:bCs/>
          <w:sz w:val="22"/>
          <w:szCs w:val="22"/>
        </w:rPr>
        <w:t>10,2%</w:t>
      </w:r>
      <w:r w:rsidR="00FC634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E109B" w:rsidRPr="00D25138">
        <w:rPr>
          <w:rFonts w:ascii="Times New Roman" w:hAnsi="Times New Roman" w:cs="Times New Roman"/>
          <w:b/>
          <w:bCs/>
          <w:sz w:val="22"/>
          <w:szCs w:val="22"/>
        </w:rPr>
        <w:t>dell’organico</w:t>
      </w:r>
      <w:r w:rsidR="00B270FE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r w:rsidR="00FC6346">
        <w:rPr>
          <w:rFonts w:ascii="Times New Roman" w:hAnsi="Times New Roman" w:cs="Times New Roman"/>
          <w:b/>
          <w:bCs/>
          <w:sz w:val="22"/>
          <w:szCs w:val="22"/>
        </w:rPr>
        <w:t>l’assunzione di 63</w:t>
      </w:r>
      <w:r w:rsidR="00DE109B" w:rsidRPr="00D25138">
        <w:rPr>
          <w:rFonts w:ascii="Times New Roman" w:hAnsi="Times New Roman" w:cs="Times New Roman"/>
          <w:b/>
          <w:bCs/>
          <w:sz w:val="22"/>
          <w:szCs w:val="22"/>
        </w:rPr>
        <w:t xml:space="preserve"> nuove risorse </w:t>
      </w:r>
      <w:r w:rsidR="00FC6346">
        <w:rPr>
          <w:rFonts w:ascii="Times New Roman" w:hAnsi="Times New Roman" w:cs="Times New Roman"/>
          <w:b/>
          <w:bCs/>
          <w:sz w:val="22"/>
          <w:szCs w:val="22"/>
        </w:rPr>
        <w:t>nel corso dell’anno</w:t>
      </w:r>
      <w:r w:rsidR="00B0279E" w:rsidRPr="00B0279E">
        <w:rPr>
          <w:rFonts w:ascii="Times New Roman" w:hAnsi="Times New Roman" w:cs="Times New Roman"/>
          <w:sz w:val="22"/>
          <w:szCs w:val="22"/>
        </w:rPr>
        <w:t>,</w:t>
      </w:r>
      <w:r w:rsidR="00B270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0279E" w:rsidRPr="00B0279E">
        <w:rPr>
          <w:rFonts w:ascii="Times New Roman" w:hAnsi="Times New Roman" w:cs="Times New Roman"/>
          <w:sz w:val="22"/>
          <w:szCs w:val="22"/>
        </w:rPr>
        <w:t>il</w:t>
      </w:r>
      <w:r w:rsidR="00B027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70FE" w:rsidRPr="009001C2">
        <w:rPr>
          <w:rFonts w:ascii="Times New Roman" w:hAnsi="Times New Roman" w:cs="Times New Roman"/>
          <w:sz w:val="22"/>
          <w:szCs w:val="22"/>
        </w:rPr>
        <w:t>54%</w:t>
      </w:r>
      <w:r w:rsidR="00B0279E">
        <w:rPr>
          <w:rFonts w:ascii="Times New Roman" w:hAnsi="Times New Roman" w:cs="Times New Roman"/>
          <w:sz w:val="22"/>
          <w:szCs w:val="22"/>
        </w:rPr>
        <w:t xml:space="preserve"> delle quali</w:t>
      </w:r>
      <w:r w:rsidR="00B270FE" w:rsidRPr="009001C2">
        <w:rPr>
          <w:rFonts w:ascii="Times New Roman" w:hAnsi="Times New Roman" w:cs="Times New Roman"/>
          <w:sz w:val="22"/>
          <w:szCs w:val="22"/>
        </w:rPr>
        <w:t xml:space="preserve"> di genere femminile e</w:t>
      </w:r>
      <w:r w:rsidR="00B0279E">
        <w:rPr>
          <w:rFonts w:ascii="Times New Roman" w:hAnsi="Times New Roman" w:cs="Times New Roman"/>
          <w:sz w:val="22"/>
          <w:szCs w:val="22"/>
        </w:rPr>
        <w:t xml:space="preserve"> il</w:t>
      </w:r>
      <w:r w:rsidR="00B270FE" w:rsidRPr="009001C2">
        <w:rPr>
          <w:rFonts w:ascii="Times New Roman" w:hAnsi="Times New Roman" w:cs="Times New Roman"/>
          <w:sz w:val="22"/>
          <w:szCs w:val="22"/>
        </w:rPr>
        <w:t xml:space="preserve"> 46% di genere maschile</w:t>
      </w:r>
      <w:r w:rsidR="00B0279E">
        <w:rPr>
          <w:rFonts w:ascii="Times New Roman" w:hAnsi="Times New Roman" w:cs="Times New Roman"/>
          <w:sz w:val="22"/>
          <w:szCs w:val="22"/>
        </w:rPr>
        <w:t xml:space="preserve"> e</w:t>
      </w:r>
      <w:r w:rsidR="009001C2">
        <w:rPr>
          <w:rFonts w:ascii="Times New Roman" w:hAnsi="Times New Roman" w:cs="Times New Roman"/>
          <w:sz w:val="22"/>
          <w:szCs w:val="22"/>
        </w:rPr>
        <w:t xml:space="preserve"> con età media pari a 33 anni</w:t>
      </w:r>
      <w:r w:rsidR="00B0279E">
        <w:rPr>
          <w:rFonts w:ascii="Times New Roman" w:hAnsi="Times New Roman" w:cs="Times New Roman"/>
          <w:sz w:val="22"/>
          <w:szCs w:val="22"/>
        </w:rPr>
        <w:t>, a conferma di una storica vocazione della Banca alla formazione</w:t>
      </w:r>
      <w:r w:rsidR="00AD2381">
        <w:rPr>
          <w:rFonts w:ascii="Times New Roman" w:hAnsi="Times New Roman" w:cs="Times New Roman"/>
          <w:sz w:val="22"/>
          <w:szCs w:val="22"/>
        </w:rPr>
        <w:t xml:space="preserve">, finalizzata </w:t>
      </w:r>
      <w:r w:rsidR="00B0279E">
        <w:rPr>
          <w:rFonts w:ascii="Times New Roman" w:hAnsi="Times New Roman" w:cs="Times New Roman"/>
          <w:sz w:val="22"/>
          <w:szCs w:val="22"/>
        </w:rPr>
        <w:t xml:space="preserve">alla crescita professionale. </w:t>
      </w:r>
    </w:p>
    <w:p w14:paraId="400CA771" w14:textId="77777777" w:rsidR="00B0279E" w:rsidRPr="00D25138" w:rsidRDefault="00B0279E" w:rsidP="00206A3D">
      <w:pPr>
        <w:pStyle w:val="Default"/>
        <w:jc w:val="both"/>
        <w:rPr>
          <w:rFonts w:ascii="Times New Roman" w:hAnsi="Times New Roman" w:cs="Times New Roman"/>
        </w:rPr>
      </w:pPr>
    </w:p>
    <w:p w14:paraId="485AE401" w14:textId="53339204" w:rsidR="00CA6424" w:rsidRDefault="00CA6424" w:rsidP="002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25138">
        <w:rPr>
          <w:rFonts w:ascii="Times New Roman" w:hAnsi="Times New Roman" w:cs="Times New Roman"/>
          <w:b/>
          <w:bCs/>
        </w:rPr>
        <w:t xml:space="preserve">L’utile lordo consolidato </w:t>
      </w:r>
      <w:r w:rsidR="00CE707D" w:rsidRPr="00D25138">
        <w:rPr>
          <w:rFonts w:ascii="Times New Roman" w:hAnsi="Times New Roman" w:cs="Times New Roman"/>
          <w:b/>
          <w:bCs/>
        </w:rPr>
        <w:t>cresce</w:t>
      </w:r>
      <w:r w:rsidRPr="00D25138">
        <w:rPr>
          <w:rFonts w:ascii="Times New Roman" w:hAnsi="Times New Roman" w:cs="Times New Roman"/>
          <w:b/>
          <w:bCs/>
        </w:rPr>
        <w:t xml:space="preserve"> a </w:t>
      </w:r>
      <w:r w:rsidR="00CE707D" w:rsidRPr="00D25138">
        <w:rPr>
          <w:rFonts w:ascii="Times New Roman" w:hAnsi="Times New Roman" w:cs="Times New Roman"/>
          <w:b/>
          <w:bCs/>
        </w:rPr>
        <w:t>€20</w:t>
      </w:r>
      <w:r w:rsidRPr="00D25138">
        <w:rPr>
          <w:rFonts w:ascii="Times New Roman" w:hAnsi="Times New Roman" w:cs="Times New Roman"/>
          <w:b/>
          <w:bCs/>
        </w:rPr>
        <w:t>,8</w:t>
      </w:r>
      <w:r w:rsidR="00C024A1">
        <w:rPr>
          <w:rFonts w:ascii="Times New Roman" w:hAnsi="Times New Roman" w:cs="Times New Roman"/>
          <w:b/>
          <w:bCs/>
        </w:rPr>
        <w:t xml:space="preserve"> </w:t>
      </w:r>
      <w:r w:rsidR="00CE707D" w:rsidRPr="00D25138">
        <w:rPr>
          <w:rFonts w:ascii="Times New Roman" w:hAnsi="Times New Roman" w:cs="Times New Roman"/>
          <w:b/>
          <w:bCs/>
        </w:rPr>
        <w:t>m</w:t>
      </w:r>
      <w:r w:rsidR="00C024A1">
        <w:rPr>
          <w:rFonts w:ascii="Times New Roman" w:hAnsi="Times New Roman" w:cs="Times New Roman"/>
          <w:b/>
          <w:bCs/>
        </w:rPr>
        <w:t>ilioni</w:t>
      </w:r>
      <w:r w:rsidR="00CE707D" w:rsidRPr="00D25138">
        <w:rPr>
          <w:rFonts w:ascii="Times New Roman" w:hAnsi="Times New Roman" w:cs="Times New Roman"/>
          <w:b/>
          <w:bCs/>
        </w:rPr>
        <w:t xml:space="preserve"> </w:t>
      </w:r>
      <w:r w:rsidRPr="00D25138">
        <w:rPr>
          <w:rFonts w:ascii="Times New Roman" w:hAnsi="Times New Roman" w:cs="Times New Roman"/>
          <w:b/>
          <w:bCs/>
        </w:rPr>
        <w:t>(</w:t>
      </w:r>
      <w:r w:rsidR="00CE707D" w:rsidRPr="00D25138">
        <w:rPr>
          <w:rFonts w:ascii="Times New Roman" w:hAnsi="Times New Roman" w:cs="Times New Roman"/>
          <w:b/>
          <w:bCs/>
        </w:rPr>
        <w:t>€18</w:t>
      </w:r>
      <w:r w:rsidRPr="00D25138">
        <w:rPr>
          <w:rFonts w:ascii="Times New Roman" w:hAnsi="Times New Roman" w:cs="Times New Roman"/>
          <w:b/>
          <w:bCs/>
        </w:rPr>
        <w:t>,8</w:t>
      </w:r>
      <w:r w:rsidR="00C024A1">
        <w:rPr>
          <w:rFonts w:ascii="Times New Roman" w:hAnsi="Times New Roman" w:cs="Times New Roman"/>
          <w:b/>
          <w:bCs/>
        </w:rPr>
        <w:t xml:space="preserve"> </w:t>
      </w:r>
      <w:r w:rsidR="00CE707D" w:rsidRPr="00D25138">
        <w:rPr>
          <w:rFonts w:ascii="Times New Roman" w:hAnsi="Times New Roman" w:cs="Times New Roman"/>
          <w:b/>
          <w:bCs/>
        </w:rPr>
        <w:t>m</w:t>
      </w:r>
      <w:r w:rsidR="00C024A1">
        <w:rPr>
          <w:rFonts w:ascii="Times New Roman" w:hAnsi="Times New Roman" w:cs="Times New Roman"/>
          <w:b/>
          <w:bCs/>
        </w:rPr>
        <w:t>ilioni</w:t>
      </w:r>
      <w:r w:rsidRPr="00D25138">
        <w:rPr>
          <w:rFonts w:ascii="Times New Roman" w:hAnsi="Times New Roman" w:cs="Times New Roman"/>
          <w:b/>
          <w:bCs/>
        </w:rPr>
        <w:t xml:space="preserve"> l’anno precedente</w:t>
      </w:r>
      <w:r w:rsidR="00483A19" w:rsidRPr="00D25138">
        <w:rPr>
          <w:rFonts w:ascii="Times New Roman" w:hAnsi="Times New Roman" w:cs="Times New Roman"/>
          <w:b/>
          <w:bCs/>
        </w:rPr>
        <w:t>, +11%</w:t>
      </w:r>
      <w:r w:rsidRPr="00D25138">
        <w:rPr>
          <w:rFonts w:ascii="Times New Roman" w:hAnsi="Times New Roman" w:cs="Times New Roman"/>
          <w:b/>
          <w:bCs/>
        </w:rPr>
        <w:t>)</w:t>
      </w:r>
      <w:r w:rsidRPr="00D25138">
        <w:rPr>
          <w:rFonts w:ascii="Times New Roman" w:hAnsi="Times New Roman" w:cs="Times New Roman"/>
        </w:rPr>
        <w:t xml:space="preserve"> </w:t>
      </w:r>
      <w:r w:rsidR="006237C3" w:rsidRPr="00D25138">
        <w:rPr>
          <w:rFonts w:ascii="Times New Roman" w:hAnsi="Times New Roman" w:cs="Times New Roman"/>
        </w:rPr>
        <w:t xml:space="preserve">mentre l’utile netto </w:t>
      </w:r>
      <w:r w:rsidR="00CE707D" w:rsidRPr="00D25138">
        <w:rPr>
          <w:rFonts w:ascii="Times New Roman" w:hAnsi="Times New Roman" w:cs="Times New Roman"/>
        </w:rPr>
        <w:t>si attesta a €15</w:t>
      </w:r>
      <w:r w:rsidR="00483A19" w:rsidRPr="00D25138">
        <w:rPr>
          <w:rFonts w:ascii="Times New Roman" w:hAnsi="Times New Roman" w:cs="Times New Roman"/>
        </w:rPr>
        <w:t>,</w:t>
      </w:r>
      <w:r w:rsidR="00CE707D" w:rsidRPr="00D25138">
        <w:rPr>
          <w:rFonts w:ascii="Times New Roman" w:hAnsi="Times New Roman" w:cs="Times New Roman"/>
        </w:rPr>
        <w:t>1</w:t>
      </w:r>
      <w:r w:rsidR="00C024A1">
        <w:rPr>
          <w:rFonts w:ascii="Times New Roman" w:hAnsi="Times New Roman" w:cs="Times New Roman"/>
        </w:rPr>
        <w:t xml:space="preserve"> </w:t>
      </w:r>
      <w:r w:rsidR="00CE707D" w:rsidRPr="00D25138">
        <w:rPr>
          <w:rFonts w:ascii="Times New Roman" w:hAnsi="Times New Roman" w:cs="Times New Roman"/>
        </w:rPr>
        <w:t>m</w:t>
      </w:r>
      <w:r w:rsidR="00C024A1">
        <w:rPr>
          <w:rFonts w:ascii="Times New Roman" w:hAnsi="Times New Roman" w:cs="Times New Roman"/>
        </w:rPr>
        <w:t>ilioni</w:t>
      </w:r>
      <w:r w:rsidR="00883363">
        <w:rPr>
          <w:rFonts w:ascii="Times New Roman" w:hAnsi="Times New Roman" w:cs="Times New Roman"/>
        </w:rPr>
        <w:t>.</w:t>
      </w:r>
    </w:p>
    <w:p w14:paraId="7CF9FDA3" w14:textId="77777777" w:rsidR="007E5BF6" w:rsidRDefault="007E5BF6" w:rsidP="0023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A557D7" w14:textId="4576CB46" w:rsidR="00470BE7" w:rsidRPr="00D25138" w:rsidRDefault="00470BE7" w:rsidP="0047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5138">
        <w:rPr>
          <w:rFonts w:ascii="Times New Roman" w:hAnsi="Times New Roman" w:cs="Times New Roman"/>
        </w:rPr>
        <w:t xml:space="preserve">I risultati consolidati </w:t>
      </w:r>
      <w:r w:rsidR="00986A8A">
        <w:rPr>
          <w:rFonts w:ascii="Times New Roman" w:hAnsi="Times New Roman" w:cs="Times New Roman"/>
        </w:rPr>
        <w:t xml:space="preserve">includono </w:t>
      </w:r>
      <w:r w:rsidRPr="00D25138">
        <w:rPr>
          <w:rFonts w:ascii="Times New Roman" w:hAnsi="Times New Roman" w:cs="Times New Roman"/>
        </w:rPr>
        <w:t xml:space="preserve">il contributo di </w:t>
      </w:r>
      <w:r w:rsidRPr="00D05AB5">
        <w:rPr>
          <w:rFonts w:ascii="Times New Roman" w:hAnsi="Times New Roman" w:cs="Times New Roman"/>
          <w:b/>
          <w:bCs/>
        </w:rPr>
        <w:t>Banca Finint</w:t>
      </w:r>
      <w:r w:rsidR="005B7C5F" w:rsidRPr="00D25138">
        <w:rPr>
          <w:rFonts w:ascii="Times New Roman" w:hAnsi="Times New Roman" w:cs="Times New Roman"/>
        </w:rPr>
        <w:t xml:space="preserve"> -</w:t>
      </w:r>
      <w:r w:rsidRPr="00D25138">
        <w:rPr>
          <w:rFonts w:ascii="Times New Roman" w:hAnsi="Times New Roman" w:cs="Times New Roman"/>
        </w:rPr>
        <w:t xml:space="preserve"> attiva nella gestione delle operazioni di </w:t>
      </w:r>
      <w:r w:rsidRPr="00D05AB5">
        <w:rPr>
          <w:rFonts w:ascii="Times New Roman" w:hAnsi="Times New Roman" w:cs="Times New Roman"/>
          <w:b/>
          <w:bCs/>
        </w:rPr>
        <w:t>cartolarizzazione</w:t>
      </w:r>
      <w:r w:rsidRPr="00D25138">
        <w:rPr>
          <w:rFonts w:ascii="Times New Roman" w:hAnsi="Times New Roman" w:cs="Times New Roman"/>
        </w:rPr>
        <w:t xml:space="preserve"> </w:t>
      </w:r>
      <w:r w:rsidR="00D54BF0" w:rsidRPr="00D25138">
        <w:rPr>
          <w:rFonts w:ascii="Times New Roman" w:hAnsi="Times New Roman" w:cs="Times New Roman"/>
        </w:rPr>
        <w:t>e di</w:t>
      </w:r>
      <w:r w:rsidRPr="00D25138">
        <w:rPr>
          <w:rFonts w:ascii="Times New Roman" w:hAnsi="Times New Roman" w:cs="Times New Roman"/>
        </w:rPr>
        <w:t xml:space="preserve"> tutte le attività correlate a servizio dei veicoli di cartolarizzazione e d</w:t>
      </w:r>
      <w:r w:rsidR="00D54BF0" w:rsidRPr="00D25138">
        <w:rPr>
          <w:rFonts w:ascii="Times New Roman" w:hAnsi="Times New Roman" w:cs="Times New Roman"/>
        </w:rPr>
        <w:t>e</w:t>
      </w:r>
      <w:r w:rsidR="005B7C5F" w:rsidRPr="00D25138">
        <w:rPr>
          <w:rFonts w:ascii="Times New Roman" w:hAnsi="Times New Roman" w:cs="Times New Roman"/>
        </w:rPr>
        <w:t>gli</w:t>
      </w:r>
      <w:r w:rsidRPr="00D25138">
        <w:rPr>
          <w:rFonts w:ascii="Times New Roman" w:hAnsi="Times New Roman" w:cs="Times New Roman"/>
        </w:rPr>
        <w:t xml:space="preserve"> emittenti di debito, </w:t>
      </w:r>
      <w:r w:rsidR="005B7C5F" w:rsidRPr="00D25138">
        <w:rPr>
          <w:rFonts w:ascii="Times New Roman" w:hAnsi="Times New Roman" w:cs="Times New Roman"/>
        </w:rPr>
        <w:t>nella</w:t>
      </w:r>
      <w:r w:rsidRPr="00D25138">
        <w:rPr>
          <w:rFonts w:ascii="Times New Roman" w:hAnsi="Times New Roman" w:cs="Times New Roman"/>
        </w:rPr>
        <w:t xml:space="preserve"> strutturazione di operazioni di cartolarizzazione e di </w:t>
      </w:r>
      <w:r w:rsidRPr="00D05AB5">
        <w:rPr>
          <w:rFonts w:ascii="Times New Roman" w:hAnsi="Times New Roman" w:cs="Times New Roman"/>
          <w:b/>
          <w:bCs/>
        </w:rPr>
        <w:t>debito strutturato</w:t>
      </w:r>
      <w:r w:rsidRPr="00D25138">
        <w:rPr>
          <w:rFonts w:ascii="Times New Roman" w:hAnsi="Times New Roman" w:cs="Times New Roman"/>
        </w:rPr>
        <w:t xml:space="preserve"> (</w:t>
      </w:r>
      <w:r w:rsidR="00AD2381">
        <w:rPr>
          <w:rFonts w:ascii="Times New Roman" w:hAnsi="Times New Roman" w:cs="Times New Roman"/>
        </w:rPr>
        <w:t>e.g.</w:t>
      </w:r>
      <w:r w:rsidRPr="00D25138">
        <w:rPr>
          <w:rFonts w:ascii="Times New Roman" w:hAnsi="Times New Roman" w:cs="Times New Roman"/>
        </w:rPr>
        <w:t xml:space="preserve"> </w:t>
      </w:r>
      <w:r w:rsidRPr="00D05AB5">
        <w:rPr>
          <w:rFonts w:ascii="Times New Roman" w:hAnsi="Times New Roman" w:cs="Times New Roman"/>
          <w:b/>
          <w:bCs/>
        </w:rPr>
        <w:t>basket bond</w:t>
      </w:r>
      <w:r w:rsidRPr="00D25138">
        <w:rPr>
          <w:rFonts w:ascii="Times New Roman" w:hAnsi="Times New Roman" w:cs="Times New Roman"/>
        </w:rPr>
        <w:t xml:space="preserve">), </w:t>
      </w:r>
      <w:r w:rsidR="005B7C5F" w:rsidRPr="00D25138">
        <w:rPr>
          <w:rFonts w:ascii="Times New Roman" w:hAnsi="Times New Roman" w:cs="Times New Roman"/>
        </w:rPr>
        <w:t>nel</w:t>
      </w:r>
      <w:r w:rsidRPr="00D25138">
        <w:rPr>
          <w:rFonts w:ascii="Times New Roman" w:hAnsi="Times New Roman" w:cs="Times New Roman"/>
        </w:rPr>
        <w:t xml:space="preserve">la strutturazione ed il collocamento di </w:t>
      </w:r>
      <w:r w:rsidRPr="00D05AB5">
        <w:rPr>
          <w:rFonts w:ascii="Times New Roman" w:hAnsi="Times New Roman" w:cs="Times New Roman"/>
          <w:b/>
          <w:bCs/>
        </w:rPr>
        <w:t>minibond</w:t>
      </w:r>
      <w:r w:rsidRPr="00D25138">
        <w:rPr>
          <w:rFonts w:ascii="Times New Roman" w:hAnsi="Times New Roman" w:cs="Times New Roman"/>
        </w:rPr>
        <w:t xml:space="preserve">, </w:t>
      </w:r>
      <w:r w:rsidR="005B7C5F" w:rsidRPr="00D25138">
        <w:rPr>
          <w:rFonts w:ascii="Times New Roman" w:hAnsi="Times New Roman" w:cs="Times New Roman"/>
        </w:rPr>
        <w:t>nell’</w:t>
      </w:r>
      <w:r w:rsidRPr="00D25138">
        <w:rPr>
          <w:rFonts w:ascii="Times New Roman" w:hAnsi="Times New Roman" w:cs="Times New Roman"/>
        </w:rPr>
        <w:t xml:space="preserve">attività di </w:t>
      </w:r>
      <w:r w:rsidRPr="00D05AB5">
        <w:rPr>
          <w:rFonts w:ascii="Times New Roman" w:hAnsi="Times New Roman" w:cs="Times New Roman"/>
          <w:b/>
          <w:bCs/>
        </w:rPr>
        <w:t xml:space="preserve">consulenza e advisory </w:t>
      </w:r>
      <w:r w:rsidRPr="00D25138">
        <w:rPr>
          <w:rFonts w:ascii="Times New Roman" w:hAnsi="Times New Roman" w:cs="Times New Roman"/>
        </w:rPr>
        <w:t xml:space="preserve">sia sul fronte </w:t>
      </w:r>
      <w:r w:rsidRPr="00AD2381">
        <w:rPr>
          <w:rFonts w:ascii="Times New Roman" w:hAnsi="Times New Roman" w:cs="Times New Roman"/>
          <w:b/>
          <w:bCs/>
        </w:rPr>
        <w:t>M&amp;A</w:t>
      </w:r>
      <w:r w:rsidRPr="00D25138">
        <w:rPr>
          <w:rFonts w:ascii="Times New Roman" w:hAnsi="Times New Roman" w:cs="Times New Roman"/>
        </w:rPr>
        <w:t xml:space="preserve"> sia sul fronte </w:t>
      </w:r>
      <w:r w:rsidRPr="00AD2381">
        <w:rPr>
          <w:rFonts w:ascii="Times New Roman" w:hAnsi="Times New Roman" w:cs="Times New Roman"/>
          <w:b/>
          <w:bCs/>
        </w:rPr>
        <w:t>debt restructuring</w:t>
      </w:r>
      <w:r w:rsidRPr="00D25138">
        <w:rPr>
          <w:rFonts w:ascii="Times New Roman" w:hAnsi="Times New Roman" w:cs="Times New Roman"/>
        </w:rPr>
        <w:t xml:space="preserve">, </w:t>
      </w:r>
      <w:r w:rsidR="005B7C5F" w:rsidRPr="00D25138">
        <w:rPr>
          <w:rFonts w:ascii="Times New Roman" w:hAnsi="Times New Roman" w:cs="Times New Roman"/>
        </w:rPr>
        <w:t>nell’</w:t>
      </w:r>
      <w:r w:rsidRPr="00D25138">
        <w:rPr>
          <w:rFonts w:ascii="Times New Roman" w:hAnsi="Times New Roman" w:cs="Times New Roman"/>
        </w:rPr>
        <w:t xml:space="preserve">attività di </w:t>
      </w:r>
      <w:r w:rsidRPr="00D05AB5">
        <w:rPr>
          <w:rFonts w:ascii="Times New Roman" w:hAnsi="Times New Roman" w:cs="Times New Roman"/>
          <w:b/>
          <w:bCs/>
        </w:rPr>
        <w:t>arrangement lending</w:t>
      </w:r>
      <w:r w:rsidRPr="00D25138">
        <w:rPr>
          <w:rFonts w:ascii="Times New Roman" w:hAnsi="Times New Roman" w:cs="Times New Roman"/>
        </w:rPr>
        <w:t xml:space="preserve"> nonché </w:t>
      </w:r>
      <w:r w:rsidR="005B7C5F" w:rsidRPr="00D25138">
        <w:rPr>
          <w:rFonts w:ascii="Times New Roman" w:hAnsi="Times New Roman" w:cs="Times New Roman"/>
        </w:rPr>
        <w:t>in</w:t>
      </w:r>
      <w:r w:rsidRPr="00D25138">
        <w:rPr>
          <w:rFonts w:ascii="Times New Roman" w:hAnsi="Times New Roman" w:cs="Times New Roman"/>
        </w:rPr>
        <w:t xml:space="preserve"> attività più tradizionalmente connesse al mondo bancario</w:t>
      </w:r>
      <w:r w:rsidR="00D54BF0" w:rsidRPr="00D25138">
        <w:rPr>
          <w:rFonts w:ascii="Times New Roman" w:hAnsi="Times New Roman" w:cs="Times New Roman"/>
        </w:rPr>
        <w:t xml:space="preserve"> </w:t>
      </w:r>
      <w:r w:rsidR="005B7C5F" w:rsidRPr="00D25138">
        <w:rPr>
          <w:rFonts w:ascii="Times New Roman" w:hAnsi="Times New Roman" w:cs="Times New Roman"/>
        </w:rPr>
        <w:t xml:space="preserve">- </w:t>
      </w:r>
      <w:r w:rsidR="00D54BF0" w:rsidRPr="00D25138">
        <w:rPr>
          <w:rFonts w:ascii="Times New Roman" w:hAnsi="Times New Roman" w:cs="Times New Roman"/>
        </w:rPr>
        <w:t xml:space="preserve">e </w:t>
      </w:r>
      <w:r w:rsidR="005B7C5F" w:rsidRPr="00D25138">
        <w:rPr>
          <w:rFonts w:ascii="Times New Roman" w:hAnsi="Times New Roman" w:cs="Times New Roman"/>
        </w:rPr>
        <w:t>della partecipata Finint Investments SGR, attiva nel segmento dell’</w:t>
      </w:r>
      <w:r w:rsidR="00D54BF0" w:rsidRPr="00D25138">
        <w:rPr>
          <w:rFonts w:ascii="Times New Roman" w:hAnsi="Times New Roman" w:cs="Times New Roman"/>
        </w:rPr>
        <w:t>asset management</w:t>
      </w:r>
      <w:r w:rsidR="005B7C5F" w:rsidRPr="00D25138">
        <w:rPr>
          <w:rFonts w:ascii="Times New Roman" w:hAnsi="Times New Roman" w:cs="Times New Roman"/>
        </w:rPr>
        <w:t>.</w:t>
      </w:r>
    </w:p>
    <w:p w14:paraId="05B2EAB0" w14:textId="77777777" w:rsidR="00526A76" w:rsidRDefault="00526A76" w:rsidP="00475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CFAD30" w14:textId="61D7E105" w:rsidR="00475069" w:rsidRPr="00526A76" w:rsidRDefault="00D54BF0" w:rsidP="005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5138">
        <w:rPr>
          <w:rFonts w:ascii="Times New Roman" w:hAnsi="Times New Roman" w:cs="Times New Roman"/>
        </w:rPr>
        <w:t>Piu in particolare</w:t>
      </w:r>
      <w:r w:rsidR="005B7C5F" w:rsidRPr="00D25138">
        <w:rPr>
          <w:rFonts w:ascii="Times New Roman" w:hAnsi="Times New Roman" w:cs="Times New Roman"/>
        </w:rPr>
        <w:t>,</w:t>
      </w:r>
      <w:r w:rsidRPr="00D25138">
        <w:rPr>
          <w:rFonts w:ascii="Times New Roman" w:hAnsi="Times New Roman" w:cs="Times New Roman"/>
        </w:rPr>
        <w:t xml:space="preserve"> la Banca </w:t>
      </w:r>
      <w:r w:rsidR="00751E6A" w:rsidRPr="00D25138">
        <w:rPr>
          <w:rFonts w:ascii="Times New Roman" w:hAnsi="Times New Roman" w:cs="Times New Roman"/>
        </w:rPr>
        <w:t>ha confermato e rafforzato la leadership nel mercato italiano delle cartolarizzazioni</w:t>
      </w:r>
      <w:r w:rsidR="007E5BF6">
        <w:rPr>
          <w:rFonts w:ascii="Times New Roman" w:hAnsi="Times New Roman" w:cs="Times New Roman"/>
        </w:rPr>
        <w:t>,</w:t>
      </w:r>
      <w:r w:rsidR="00751E6A" w:rsidRPr="00D25138">
        <w:rPr>
          <w:rFonts w:ascii="Times New Roman" w:hAnsi="Times New Roman" w:cs="Times New Roman"/>
        </w:rPr>
        <w:t xml:space="preserve"> come testimoniato dalle </w:t>
      </w:r>
      <w:r w:rsidR="00136264">
        <w:rPr>
          <w:rFonts w:ascii="Times New Roman" w:hAnsi="Times New Roman" w:cs="Times New Roman"/>
          <w:b/>
          <w:bCs/>
        </w:rPr>
        <w:t>64</w:t>
      </w:r>
      <w:r w:rsidR="00136264" w:rsidRPr="00D05AB5">
        <w:rPr>
          <w:rFonts w:ascii="Times New Roman" w:hAnsi="Times New Roman" w:cs="Times New Roman"/>
          <w:b/>
          <w:bCs/>
        </w:rPr>
        <w:t xml:space="preserve"> </w:t>
      </w:r>
      <w:r w:rsidR="00751E6A" w:rsidRPr="00D05AB5">
        <w:rPr>
          <w:rFonts w:ascii="Times New Roman" w:hAnsi="Times New Roman" w:cs="Times New Roman"/>
          <w:b/>
          <w:bCs/>
        </w:rPr>
        <w:t>operazioni</w:t>
      </w:r>
      <w:r w:rsidR="00751E6A" w:rsidRPr="00D25138">
        <w:rPr>
          <w:rFonts w:ascii="Times New Roman" w:hAnsi="Times New Roman" w:cs="Times New Roman"/>
        </w:rPr>
        <w:t xml:space="preserve"> nel corso dei 12 mesi relative ad una vasta tipologia di </w:t>
      </w:r>
      <w:r w:rsidR="00751E6A" w:rsidRPr="00136264">
        <w:rPr>
          <w:rFonts w:ascii="Times New Roman" w:hAnsi="Times New Roman" w:cs="Times New Roman"/>
        </w:rPr>
        <w:t xml:space="preserve">assets, </w:t>
      </w:r>
      <w:r w:rsidR="00136264" w:rsidRPr="00883363">
        <w:rPr>
          <w:rFonts w:ascii="Times New Roman" w:hAnsi="Times New Roman" w:cs="Times New Roman"/>
        </w:rPr>
        <w:t xml:space="preserve">cui si affiancano oltre </w:t>
      </w:r>
      <w:r w:rsidR="00136264" w:rsidRPr="00883363">
        <w:rPr>
          <w:rFonts w:ascii="Times New Roman" w:hAnsi="Times New Roman" w:cs="Times New Roman"/>
          <w:b/>
          <w:bCs/>
        </w:rPr>
        <w:t>10 LeaseCo e ReoCo</w:t>
      </w:r>
      <w:r w:rsidR="00136264" w:rsidRPr="00136264">
        <w:rPr>
          <w:rFonts w:ascii="Times New Roman" w:hAnsi="Times New Roman" w:cs="Times New Roman"/>
          <w:b/>
          <w:bCs/>
        </w:rPr>
        <w:t xml:space="preserve">, </w:t>
      </w:r>
      <w:r w:rsidR="00751E6A" w:rsidRPr="00136264">
        <w:rPr>
          <w:rFonts w:ascii="Times New Roman" w:hAnsi="Times New Roman" w:cs="Times New Roman"/>
        </w:rPr>
        <w:t>dal coinvolgimento</w:t>
      </w:r>
      <w:r w:rsidR="00751E6A" w:rsidRPr="00D25138">
        <w:rPr>
          <w:rFonts w:ascii="Times New Roman" w:hAnsi="Times New Roman" w:cs="Times New Roman"/>
        </w:rPr>
        <w:t xml:space="preserve"> in numerose operazioni </w:t>
      </w:r>
      <w:r w:rsidR="007E5BF6">
        <w:rPr>
          <w:rFonts w:ascii="Times New Roman" w:hAnsi="Times New Roman" w:cs="Times New Roman"/>
        </w:rPr>
        <w:t>su</w:t>
      </w:r>
      <w:r w:rsidR="00751E6A" w:rsidRPr="00D25138">
        <w:rPr>
          <w:rFonts w:ascii="Times New Roman" w:hAnsi="Times New Roman" w:cs="Times New Roman"/>
        </w:rPr>
        <w:t xml:space="preserve"> </w:t>
      </w:r>
      <w:r w:rsidR="00751E6A" w:rsidRPr="00D05AB5">
        <w:rPr>
          <w:rFonts w:ascii="Times New Roman" w:hAnsi="Times New Roman" w:cs="Times New Roman"/>
          <w:b/>
          <w:bCs/>
        </w:rPr>
        <w:t>NPL</w:t>
      </w:r>
      <w:r w:rsidR="00751E6A" w:rsidRPr="00D25138">
        <w:rPr>
          <w:rFonts w:ascii="Times New Roman" w:hAnsi="Times New Roman" w:cs="Times New Roman"/>
        </w:rPr>
        <w:t xml:space="preserve"> con garanzia dello stato (GACS)</w:t>
      </w:r>
      <w:r w:rsidR="00AD2381">
        <w:rPr>
          <w:rFonts w:ascii="Times New Roman" w:hAnsi="Times New Roman" w:cs="Times New Roman"/>
        </w:rPr>
        <w:t>,</w:t>
      </w:r>
      <w:r w:rsidR="00751E6A" w:rsidRPr="00D25138">
        <w:rPr>
          <w:rFonts w:ascii="Times New Roman" w:hAnsi="Times New Roman" w:cs="Times New Roman"/>
        </w:rPr>
        <w:t xml:space="preserve"> delle quali 4 chiuse a fine 2021, in altri importanti progetti del tutto innovativi realizzati nel corso dell’anno (</w:t>
      </w:r>
      <w:r w:rsidR="00F67F09" w:rsidRPr="00D25138">
        <w:rPr>
          <w:rFonts w:ascii="Times New Roman" w:hAnsi="Times New Roman" w:cs="Times New Roman"/>
        </w:rPr>
        <w:t xml:space="preserve">dalla prima cartolarizzazione realizzata in Italia relativa ad un parco auto alla </w:t>
      </w:r>
      <w:r w:rsidR="00F67F09" w:rsidRPr="00D05AB5">
        <w:rPr>
          <w:rFonts w:ascii="Times New Roman" w:hAnsi="Times New Roman" w:cs="Times New Roman"/>
          <w:b/>
          <w:bCs/>
        </w:rPr>
        <w:t>cartolarizzazione immobiliare</w:t>
      </w:r>
      <w:r w:rsidR="00F67F09" w:rsidRPr="00D25138">
        <w:rPr>
          <w:rFonts w:ascii="Times New Roman" w:hAnsi="Times New Roman" w:cs="Times New Roman"/>
        </w:rPr>
        <w:t xml:space="preserve"> inserita nell’ambito di un modello innovativo di instant buying immobiliare, da operazioni relative a piattaforme fintech a quelle riferite a beni immobili e ad asset - performing e non performing - connessi a crediti, contratti e beni in leasing) e</w:t>
      </w:r>
      <w:r w:rsidR="00751E6A" w:rsidRPr="00D25138">
        <w:rPr>
          <w:rFonts w:ascii="Times New Roman" w:hAnsi="Times New Roman" w:cs="Times New Roman"/>
        </w:rPr>
        <w:t xml:space="preserve"> in altre operazioni aventi come sottostante principalmente mutui commerciali, finanziamenti alle PMI e cessione del quinto dello stipendio.</w:t>
      </w:r>
      <w:r w:rsidR="00475069" w:rsidRPr="00D25138">
        <w:rPr>
          <w:rFonts w:ascii="Times New Roman" w:hAnsi="Times New Roman" w:cs="Times New Roman"/>
        </w:rPr>
        <w:t xml:space="preserve"> Le controparti sono state le </w:t>
      </w:r>
      <w:r w:rsidR="00475069" w:rsidRPr="00925890">
        <w:rPr>
          <w:rFonts w:ascii="Times New Roman" w:hAnsi="Times New Roman" w:cs="Times New Roman"/>
          <w:b/>
          <w:bCs/>
        </w:rPr>
        <w:t>principali banche e fondi a livello nazionale ed internazionale</w:t>
      </w:r>
      <w:r w:rsidR="00475069" w:rsidRPr="00D25138">
        <w:rPr>
          <w:rFonts w:ascii="Times New Roman" w:hAnsi="Times New Roman" w:cs="Times New Roman"/>
        </w:rPr>
        <w:t xml:space="preserve"> che operano nel settore.</w:t>
      </w:r>
    </w:p>
    <w:p w14:paraId="672DCBB7" w14:textId="6633C255" w:rsidR="00751E6A" w:rsidRPr="00D25138" w:rsidRDefault="00751E6A" w:rsidP="0075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E1E711" w14:textId="43D88676" w:rsidR="00136264" w:rsidRDefault="00D54BF0" w:rsidP="00136264">
      <w:pPr>
        <w:autoSpaceDE w:val="0"/>
        <w:autoSpaceDN w:val="0"/>
        <w:jc w:val="both"/>
      </w:pPr>
      <w:r w:rsidRPr="00D25138">
        <w:rPr>
          <w:rFonts w:ascii="Times New Roman" w:hAnsi="Times New Roman" w:cs="Times New Roman"/>
        </w:rPr>
        <w:t xml:space="preserve">Con riferimento ai </w:t>
      </w:r>
      <w:r w:rsidRPr="00925890">
        <w:rPr>
          <w:rFonts w:ascii="Times New Roman" w:hAnsi="Times New Roman" w:cs="Times New Roman"/>
          <w:b/>
          <w:bCs/>
        </w:rPr>
        <w:t>bond</w:t>
      </w:r>
      <w:r w:rsidRPr="00D25138">
        <w:rPr>
          <w:rFonts w:ascii="Times New Roman" w:hAnsi="Times New Roman" w:cs="Times New Roman"/>
        </w:rPr>
        <w:t xml:space="preserve">, dopo un primo trimestre </w:t>
      </w:r>
      <w:r w:rsidR="00925890">
        <w:rPr>
          <w:rFonts w:ascii="Times New Roman" w:hAnsi="Times New Roman" w:cs="Times New Roman"/>
        </w:rPr>
        <w:t>poco dinamico</w:t>
      </w:r>
      <w:r w:rsidRPr="00D25138">
        <w:rPr>
          <w:rFonts w:ascii="Times New Roman" w:hAnsi="Times New Roman" w:cs="Times New Roman"/>
        </w:rPr>
        <w:t xml:space="preserve">, </w:t>
      </w:r>
      <w:r w:rsidR="00925890">
        <w:rPr>
          <w:rFonts w:ascii="Times New Roman" w:hAnsi="Times New Roman" w:cs="Times New Roman"/>
        </w:rPr>
        <w:t>gli</w:t>
      </w:r>
      <w:r w:rsidRPr="00D25138">
        <w:rPr>
          <w:rFonts w:ascii="Times New Roman" w:hAnsi="Times New Roman" w:cs="Times New Roman"/>
        </w:rPr>
        <w:t xml:space="preserve"> ultimi </w:t>
      </w:r>
      <w:r w:rsidR="005B7C5F" w:rsidRPr="00D25138">
        <w:rPr>
          <w:rFonts w:ascii="Times New Roman" w:hAnsi="Times New Roman" w:cs="Times New Roman"/>
        </w:rPr>
        <w:t>nove</w:t>
      </w:r>
      <w:r w:rsidRPr="00D25138">
        <w:rPr>
          <w:rFonts w:ascii="Times New Roman" w:hAnsi="Times New Roman" w:cs="Times New Roman"/>
        </w:rPr>
        <w:t xml:space="preserve"> mesi </w:t>
      </w:r>
      <w:r w:rsidR="00925890">
        <w:rPr>
          <w:rFonts w:ascii="Times New Roman" w:hAnsi="Times New Roman" w:cs="Times New Roman"/>
        </w:rPr>
        <w:t xml:space="preserve">hanno mostrato </w:t>
      </w:r>
      <w:r w:rsidRPr="00D25138">
        <w:rPr>
          <w:rFonts w:ascii="Times New Roman" w:hAnsi="Times New Roman" w:cs="Times New Roman"/>
        </w:rPr>
        <w:t xml:space="preserve">un </w:t>
      </w:r>
      <w:r w:rsidR="00475069" w:rsidRPr="00D25138">
        <w:rPr>
          <w:rFonts w:ascii="Times New Roman" w:hAnsi="Times New Roman" w:cs="Times New Roman"/>
        </w:rPr>
        <w:t>notevole fermento</w:t>
      </w:r>
      <w:r w:rsidRPr="00D25138">
        <w:rPr>
          <w:rFonts w:ascii="Times New Roman" w:hAnsi="Times New Roman" w:cs="Times New Roman"/>
        </w:rPr>
        <w:t xml:space="preserve">, con la partecipazione diretta della Banca </w:t>
      </w:r>
      <w:r w:rsidR="00136264">
        <w:rPr>
          <w:rFonts w:ascii="Times New Roman" w:hAnsi="Times New Roman" w:cs="Times New Roman"/>
        </w:rPr>
        <w:t>nella gestione di</w:t>
      </w:r>
      <w:r w:rsidRPr="00D25138">
        <w:rPr>
          <w:rFonts w:ascii="Times New Roman" w:hAnsi="Times New Roman" w:cs="Times New Roman"/>
        </w:rPr>
        <w:t xml:space="preserve"> oltre </w:t>
      </w:r>
      <w:r w:rsidR="00136264">
        <w:rPr>
          <w:rFonts w:ascii="Times New Roman" w:hAnsi="Times New Roman" w:cs="Times New Roman"/>
          <w:b/>
          <w:bCs/>
        </w:rPr>
        <w:t>65</w:t>
      </w:r>
      <w:r w:rsidR="00136264" w:rsidRPr="00925890">
        <w:rPr>
          <w:rFonts w:ascii="Times New Roman" w:hAnsi="Times New Roman" w:cs="Times New Roman"/>
          <w:b/>
          <w:bCs/>
        </w:rPr>
        <w:t xml:space="preserve"> </w:t>
      </w:r>
      <w:r w:rsidRPr="00925890">
        <w:rPr>
          <w:rFonts w:ascii="Times New Roman" w:hAnsi="Times New Roman" w:cs="Times New Roman"/>
          <w:b/>
          <w:bCs/>
        </w:rPr>
        <w:t>emissioni</w:t>
      </w:r>
      <w:r w:rsidRPr="00D25138">
        <w:rPr>
          <w:rFonts w:ascii="Times New Roman" w:hAnsi="Times New Roman" w:cs="Times New Roman"/>
        </w:rPr>
        <w:t xml:space="preserve"> sia stand alone </w:t>
      </w:r>
      <w:r w:rsidR="00475069" w:rsidRPr="00D25138">
        <w:rPr>
          <w:rFonts w:ascii="Times New Roman" w:hAnsi="Times New Roman" w:cs="Times New Roman"/>
        </w:rPr>
        <w:t>sia</w:t>
      </w:r>
      <w:r w:rsidRPr="00D25138">
        <w:rPr>
          <w:rFonts w:ascii="Times New Roman" w:hAnsi="Times New Roman" w:cs="Times New Roman"/>
        </w:rPr>
        <w:t xml:space="preserve"> inserite nei diversi programmi di basket bond sviluppati negli anni. </w:t>
      </w:r>
      <w:r w:rsidR="00475069" w:rsidRPr="00D25138">
        <w:rPr>
          <w:rFonts w:ascii="Times New Roman" w:hAnsi="Times New Roman" w:cs="Times New Roman"/>
        </w:rPr>
        <w:t>Anche</w:t>
      </w:r>
      <w:r w:rsidRPr="00D25138">
        <w:rPr>
          <w:rFonts w:ascii="Times New Roman" w:hAnsi="Times New Roman" w:cs="Times New Roman"/>
        </w:rPr>
        <w:t xml:space="preserve"> in questo settore, a fronte del ruolo pioneristico da sempre svolto dalla Banca, </w:t>
      </w:r>
      <w:r w:rsidR="00475069" w:rsidRPr="00D25138">
        <w:rPr>
          <w:rFonts w:ascii="Times New Roman" w:hAnsi="Times New Roman" w:cs="Times New Roman"/>
        </w:rPr>
        <w:t>la</w:t>
      </w:r>
      <w:r w:rsidRPr="00D25138">
        <w:rPr>
          <w:rFonts w:ascii="Times New Roman" w:hAnsi="Times New Roman" w:cs="Times New Roman"/>
        </w:rPr>
        <w:t xml:space="preserve"> </w:t>
      </w:r>
      <w:r w:rsidRPr="00925890">
        <w:rPr>
          <w:rFonts w:ascii="Times New Roman" w:hAnsi="Times New Roman" w:cs="Times New Roman"/>
          <w:b/>
          <w:bCs/>
        </w:rPr>
        <w:t>quota di mercato</w:t>
      </w:r>
      <w:r w:rsidRPr="00D25138">
        <w:rPr>
          <w:rFonts w:ascii="Times New Roman" w:hAnsi="Times New Roman" w:cs="Times New Roman"/>
        </w:rPr>
        <w:t xml:space="preserve"> </w:t>
      </w:r>
      <w:r w:rsidR="00475069" w:rsidRPr="00D25138">
        <w:rPr>
          <w:rFonts w:ascii="Times New Roman" w:hAnsi="Times New Roman" w:cs="Times New Roman"/>
        </w:rPr>
        <w:t xml:space="preserve">detenuta </w:t>
      </w:r>
      <w:r w:rsidR="00136264">
        <w:rPr>
          <w:rFonts w:ascii="Times New Roman" w:hAnsi="Times New Roman" w:cs="Times New Roman"/>
        </w:rPr>
        <w:t>nella strutturazione e nel collocamento</w:t>
      </w:r>
      <w:r w:rsidR="00475069" w:rsidRPr="00D25138">
        <w:rPr>
          <w:rFonts w:ascii="Times New Roman" w:hAnsi="Times New Roman" w:cs="Times New Roman"/>
        </w:rPr>
        <w:t xml:space="preserve"> </w:t>
      </w:r>
      <w:r w:rsidR="00AD2381" w:rsidRPr="00AD2381">
        <w:rPr>
          <w:rFonts w:ascii="Times New Roman" w:hAnsi="Times New Roman" w:cs="Times New Roman"/>
        </w:rPr>
        <w:t>si attesta</w:t>
      </w:r>
      <w:r w:rsidR="00AD2381">
        <w:rPr>
          <w:rFonts w:ascii="Times New Roman" w:hAnsi="Times New Roman" w:cs="Times New Roman"/>
        </w:rPr>
        <w:t xml:space="preserve"> </w:t>
      </w:r>
      <w:r w:rsidRPr="00D25138">
        <w:rPr>
          <w:rFonts w:ascii="Times New Roman" w:hAnsi="Times New Roman" w:cs="Times New Roman"/>
        </w:rPr>
        <w:t>a</w:t>
      </w:r>
      <w:r w:rsidR="00136264">
        <w:rPr>
          <w:rFonts w:ascii="Times New Roman" w:hAnsi="Times New Roman" w:cs="Times New Roman"/>
        </w:rPr>
        <w:t xml:space="preserve"> circa il 25%</w:t>
      </w:r>
      <w:r w:rsidR="00C024A1">
        <w:rPr>
          <w:rFonts w:ascii="Times New Roman" w:hAnsi="Times New Roman" w:cs="Times New Roman"/>
        </w:rPr>
        <w:t xml:space="preserve"> </w:t>
      </w:r>
      <w:r w:rsidRPr="00D25138">
        <w:rPr>
          <w:rFonts w:ascii="Times New Roman" w:hAnsi="Times New Roman" w:cs="Times New Roman"/>
        </w:rPr>
        <w:t xml:space="preserve">e, nei soli </w:t>
      </w:r>
      <w:r w:rsidRPr="00925890">
        <w:rPr>
          <w:rFonts w:ascii="Times New Roman" w:hAnsi="Times New Roman" w:cs="Times New Roman"/>
          <w:b/>
          <w:bCs/>
        </w:rPr>
        <w:t xml:space="preserve">basket bond, </w:t>
      </w:r>
      <w:r w:rsidR="00AD2381">
        <w:rPr>
          <w:rFonts w:ascii="Times New Roman" w:hAnsi="Times New Roman" w:cs="Times New Roman"/>
          <w:b/>
          <w:bCs/>
        </w:rPr>
        <w:t xml:space="preserve">è </w:t>
      </w:r>
      <w:r w:rsidR="00136264">
        <w:rPr>
          <w:rFonts w:ascii="Times New Roman" w:hAnsi="Times New Roman" w:cs="Times New Roman"/>
          <w:b/>
          <w:bCs/>
        </w:rPr>
        <w:t xml:space="preserve">stata </w:t>
      </w:r>
      <w:r w:rsidRPr="00925890">
        <w:rPr>
          <w:rFonts w:ascii="Times New Roman" w:hAnsi="Times New Roman" w:cs="Times New Roman"/>
          <w:b/>
          <w:bCs/>
        </w:rPr>
        <w:t xml:space="preserve">pari </w:t>
      </w:r>
      <w:r w:rsidR="00AD2381">
        <w:rPr>
          <w:rFonts w:ascii="Times New Roman" w:hAnsi="Times New Roman" w:cs="Times New Roman"/>
          <w:b/>
          <w:bCs/>
        </w:rPr>
        <w:t>al</w:t>
      </w:r>
      <w:r w:rsidRPr="00925890">
        <w:rPr>
          <w:rFonts w:ascii="Times New Roman" w:hAnsi="Times New Roman" w:cs="Times New Roman"/>
          <w:b/>
          <w:bCs/>
        </w:rPr>
        <w:t xml:space="preserve"> </w:t>
      </w:r>
      <w:r w:rsidR="00136264">
        <w:rPr>
          <w:rFonts w:ascii="Times New Roman" w:hAnsi="Times New Roman" w:cs="Times New Roman"/>
          <w:b/>
          <w:bCs/>
        </w:rPr>
        <w:t>96</w:t>
      </w:r>
      <w:r w:rsidRPr="00925890">
        <w:rPr>
          <w:rFonts w:ascii="Times New Roman" w:hAnsi="Times New Roman" w:cs="Times New Roman"/>
          <w:b/>
          <w:bCs/>
        </w:rPr>
        <w:t>%</w:t>
      </w:r>
      <w:r w:rsidR="00136264">
        <w:rPr>
          <w:rFonts w:ascii="Times New Roman" w:hAnsi="Times New Roman" w:cs="Times New Roman"/>
          <w:b/>
          <w:bCs/>
        </w:rPr>
        <w:t xml:space="preserve"> in termini di volumi</w:t>
      </w:r>
      <w:r w:rsidRPr="00925890">
        <w:rPr>
          <w:rFonts w:ascii="Times New Roman" w:hAnsi="Times New Roman" w:cs="Times New Roman"/>
          <w:b/>
          <w:bCs/>
        </w:rPr>
        <w:t>.</w:t>
      </w:r>
      <w:r w:rsidRPr="00D25138">
        <w:rPr>
          <w:rFonts w:ascii="Times New Roman" w:hAnsi="Times New Roman" w:cs="Times New Roman"/>
        </w:rPr>
        <w:t xml:space="preserve"> Dal </w:t>
      </w:r>
      <w:r w:rsidRPr="00D25138">
        <w:rPr>
          <w:rFonts w:ascii="Times New Roman" w:hAnsi="Times New Roman" w:cs="Times New Roman"/>
        </w:rPr>
        <w:lastRenderedPageBreak/>
        <w:t xml:space="preserve">2013 ad oggi (anno di lancio della prima operazione in Italia, targata Finint) sono </w:t>
      </w:r>
      <w:r w:rsidR="00136264" w:rsidRPr="00393497">
        <w:rPr>
          <w:rFonts w:ascii="Times New Roman" w:hAnsi="Times New Roman" w:cs="Times New Roman"/>
          <w:b/>
          <w:bCs/>
        </w:rPr>
        <w:t xml:space="preserve">8 </w:t>
      </w:r>
      <w:r w:rsidRPr="00393497">
        <w:rPr>
          <w:rFonts w:ascii="Times New Roman" w:hAnsi="Times New Roman" w:cs="Times New Roman"/>
          <w:b/>
          <w:bCs/>
        </w:rPr>
        <w:t>le operazioni effettuate</w:t>
      </w:r>
      <w:r w:rsidRPr="00D25138">
        <w:rPr>
          <w:rFonts w:ascii="Times New Roman" w:hAnsi="Times New Roman" w:cs="Times New Roman"/>
        </w:rPr>
        <w:t xml:space="preserve"> dalla banca</w:t>
      </w:r>
      <w:r w:rsidR="00AD2381">
        <w:rPr>
          <w:rFonts w:ascii="Times New Roman" w:hAnsi="Times New Roman" w:cs="Times New Roman"/>
        </w:rPr>
        <w:t>,</w:t>
      </w:r>
      <w:r w:rsidRPr="00D25138">
        <w:rPr>
          <w:rFonts w:ascii="Times New Roman" w:hAnsi="Times New Roman" w:cs="Times New Roman"/>
        </w:rPr>
        <w:t xml:space="preserve"> superando </w:t>
      </w:r>
      <w:r w:rsidR="00136264" w:rsidRPr="00883363">
        <w:rPr>
          <w:rFonts w:ascii="Times New Roman" w:hAnsi="Times New Roman" w:cs="Times New Roman"/>
        </w:rPr>
        <w:t>€</w:t>
      </w:r>
      <w:r w:rsidR="00136264">
        <w:rPr>
          <w:rFonts w:ascii="Times New Roman" w:hAnsi="Times New Roman" w:cs="Times New Roman"/>
        </w:rPr>
        <w:t>1,7</w:t>
      </w:r>
      <w:r w:rsidR="00C024A1">
        <w:rPr>
          <w:rFonts w:ascii="Times New Roman" w:hAnsi="Times New Roman" w:cs="Times New Roman"/>
        </w:rPr>
        <w:t xml:space="preserve"> </w:t>
      </w:r>
      <w:r w:rsidR="00136264">
        <w:rPr>
          <w:rFonts w:ascii="Times New Roman" w:hAnsi="Times New Roman" w:cs="Times New Roman"/>
        </w:rPr>
        <w:t>mld</w:t>
      </w:r>
      <w:r w:rsidRPr="00D25138">
        <w:rPr>
          <w:rFonts w:ascii="Times New Roman" w:hAnsi="Times New Roman" w:cs="Times New Roman"/>
        </w:rPr>
        <w:t xml:space="preserve"> di </w:t>
      </w:r>
      <w:r w:rsidR="00393497">
        <w:rPr>
          <w:rFonts w:ascii="Times New Roman" w:hAnsi="Times New Roman" w:cs="Times New Roman"/>
        </w:rPr>
        <w:t>volumi</w:t>
      </w:r>
      <w:r w:rsidRPr="0008085D">
        <w:rPr>
          <w:rFonts w:ascii="Times New Roman" w:hAnsi="Times New Roman" w:cs="Times New Roman"/>
        </w:rPr>
        <w:t>.</w:t>
      </w:r>
      <w:r w:rsidR="00136264" w:rsidRPr="00883363">
        <w:rPr>
          <w:rFonts w:ascii="Times New Roman" w:hAnsi="Times New Roman" w:cs="Times New Roman"/>
        </w:rPr>
        <w:t xml:space="preserve"> La Banca è inoltre attiva nel </w:t>
      </w:r>
      <w:r w:rsidR="00136264" w:rsidRPr="00883363">
        <w:rPr>
          <w:rFonts w:ascii="Times New Roman" w:hAnsi="Times New Roman" w:cs="Times New Roman"/>
          <w:b/>
          <w:bCs/>
        </w:rPr>
        <w:t>direct lending</w:t>
      </w:r>
      <w:r w:rsidR="00136264" w:rsidRPr="00883363">
        <w:rPr>
          <w:rFonts w:ascii="Times New Roman" w:hAnsi="Times New Roman" w:cs="Times New Roman"/>
        </w:rPr>
        <w:t xml:space="preserve"> con oltre 10 operazioni curate nel 2021</w:t>
      </w:r>
      <w:r w:rsidR="00136264" w:rsidRPr="0008085D">
        <w:rPr>
          <w:rFonts w:ascii="Times New Roman" w:hAnsi="Times New Roman" w:cs="Times New Roman"/>
        </w:rPr>
        <w:t>.</w:t>
      </w:r>
    </w:p>
    <w:p w14:paraId="4A4E0956" w14:textId="4DCAC774" w:rsidR="00483A19" w:rsidRPr="00D25138" w:rsidRDefault="007A64FC" w:rsidP="00526A76">
      <w:pPr>
        <w:jc w:val="both"/>
        <w:rPr>
          <w:rFonts w:ascii="Times New Roman" w:hAnsi="Times New Roman" w:cs="Times New Roman"/>
        </w:rPr>
      </w:pPr>
      <w:r w:rsidRPr="00D25138">
        <w:rPr>
          <w:rFonts w:ascii="Times New Roman" w:hAnsi="Times New Roman" w:cs="Times New Roman"/>
          <w:b/>
          <w:bCs/>
        </w:rPr>
        <w:t xml:space="preserve">La controllata Finint </w:t>
      </w:r>
      <w:r w:rsidR="00FE633E" w:rsidRPr="00D25138">
        <w:rPr>
          <w:rFonts w:ascii="Times New Roman" w:hAnsi="Times New Roman" w:cs="Times New Roman"/>
          <w:b/>
          <w:bCs/>
        </w:rPr>
        <w:t xml:space="preserve">Investments </w:t>
      </w:r>
      <w:r w:rsidRPr="00D25138">
        <w:rPr>
          <w:rFonts w:ascii="Times New Roman" w:hAnsi="Times New Roman" w:cs="Times New Roman"/>
          <w:b/>
          <w:bCs/>
        </w:rPr>
        <w:t>SGR</w:t>
      </w:r>
      <w:r w:rsidRPr="00D25138">
        <w:rPr>
          <w:rFonts w:ascii="Times New Roman" w:hAnsi="Times New Roman" w:cs="Times New Roman"/>
        </w:rPr>
        <w:t xml:space="preserve"> ha chiuso il 202</w:t>
      </w:r>
      <w:r w:rsidR="00483A19" w:rsidRPr="00D25138">
        <w:rPr>
          <w:rFonts w:ascii="Times New Roman" w:hAnsi="Times New Roman" w:cs="Times New Roman"/>
        </w:rPr>
        <w:t>1</w:t>
      </w:r>
      <w:r w:rsidRPr="00D25138">
        <w:rPr>
          <w:rFonts w:ascii="Times New Roman" w:hAnsi="Times New Roman" w:cs="Times New Roman"/>
        </w:rPr>
        <w:t xml:space="preserve"> con una </w:t>
      </w:r>
      <w:r w:rsidRPr="00925890">
        <w:rPr>
          <w:rFonts w:ascii="Times New Roman" w:hAnsi="Times New Roman" w:cs="Times New Roman"/>
          <w:b/>
          <w:bCs/>
        </w:rPr>
        <w:t>crescita dell’utile netto del 2</w:t>
      </w:r>
      <w:r w:rsidR="00483A19" w:rsidRPr="00925890">
        <w:rPr>
          <w:rFonts w:ascii="Times New Roman" w:hAnsi="Times New Roman" w:cs="Times New Roman"/>
          <w:b/>
          <w:bCs/>
        </w:rPr>
        <w:t>2</w:t>
      </w:r>
      <w:r w:rsidRPr="00925890">
        <w:rPr>
          <w:rFonts w:ascii="Times New Roman" w:hAnsi="Times New Roman" w:cs="Times New Roman"/>
          <w:b/>
          <w:bCs/>
        </w:rPr>
        <w:t>,</w:t>
      </w:r>
      <w:r w:rsidR="00136264">
        <w:rPr>
          <w:rFonts w:ascii="Times New Roman" w:hAnsi="Times New Roman" w:cs="Times New Roman"/>
          <w:b/>
          <w:bCs/>
        </w:rPr>
        <w:t>5</w:t>
      </w:r>
      <w:r w:rsidRPr="00925890">
        <w:rPr>
          <w:rFonts w:ascii="Times New Roman" w:hAnsi="Times New Roman" w:cs="Times New Roman"/>
          <w:b/>
          <w:bCs/>
        </w:rPr>
        <w:t xml:space="preserve">% a quota </w:t>
      </w:r>
      <w:r w:rsidR="00483A19" w:rsidRPr="00925890">
        <w:rPr>
          <w:rFonts w:ascii="Times New Roman" w:hAnsi="Times New Roman" w:cs="Times New Roman"/>
          <w:b/>
          <w:bCs/>
        </w:rPr>
        <w:t>€</w:t>
      </w:r>
      <w:r w:rsidR="00136264">
        <w:rPr>
          <w:rFonts w:ascii="Times New Roman" w:hAnsi="Times New Roman" w:cs="Times New Roman"/>
          <w:b/>
          <w:bCs/>
        </w:rPr>
        <w:t>3</w:t>
      </w:r>
      <w:r w:rsidR="00C024A1">
        <w:rPr>
          <w:rFonts w:ascii="Times New Roman" w:hAnsi="Times New Roman" w:cs="Times New Roman"/>
          <w:b/>
          <w:bCs/>
        </w:rPr>
        <w:t xml:space="preserve"> </w:t>
      </w:r>
      <w:r w:rsidR="00483A19" w:rsidRPr="00925890">
        <w:rPr>
          <w:rFonts w:ascii="Times New Roman" w:hAnsi="Times New Roman" w:cs="Times New Roman"/>
          <w:b/>
          <w:bCs/>
        </w:rPr>
        <w:t>m</w:t>
      </w:r>
      <w:r w:rsidR="00C024A1">
        <w:rPr>
          <w:rFonts w:ascii="Times New Roman" w:hAnsi="Times New Roman" w:cs="Times New Roman"/>
          <w:b/>
          <w:bCs/>
        </w:rPr>
        <w:t>ilioni</w:t>
      </w:r>
      <w:r w:rsidRPr="00D25138">
        <w:rPr>
          <w:rFonts w:ascii="Times New Roman" w:hAnsi="Times New Roman" w:cs="Times New Roman"/>
        </w:rPr>
        <w:t xml:space="preserve">. </w:t>
      </w:r>
      <w:r w:rsidR="00483A19" w:rsidRPr="00D25138">
        <w:rPr>
          <w:rFonts w:ascii="Times New Roman" w:hAnsi="Times New Roman" w:cs="Times New Roman"/>
        </w:rPr>
        <w:t>Gli asset under management sono pure aumentati rispetto al 2020</w:t>
      </w:r>
      <w:r w:rsidR="00FE633E" w:rsidRPr="00D25138">
        <w:rPr>
          <w:rFonts w:ascii="Times New Roman" w:hAnsi="Times New Roman" w:cs="Times New Roman"/>
        </w:rPr>
        <w:t>,</w:t>
      </w:r>
      <w:r w:rsidR="00483A19" w:rsidRPr="00D25138">
        <w:rPr>
          <w:rFonts w:ascii="Times New Roman" w:hAnsi="Times New Roman" w:cs="Times New Roman"/>
        </w:rPr>
        <w:t xml:space="preserve"> a</w:t>
      </w:r>
      <w:r w:rsidR="00136264">
        <w:rPr>
          <w:rFonts w:ascii="Times New Roman" w:hAnsi="Times New Roman" w:cs="Times New Roman"/>
        </w:rPr>
        <w:t>d una quota di circa</w:t>
      </w:r>
      <w:r w:rsidR="00483A19" w:rsidRPr="00D25138">
        <w:rPr>
          <w:rFonts w:ascii="Times New Roman" w:hAnsi="Times New Roman" w:cs="Times New Roman"/>
        </w:rPr>
        <w:t xml:space="preserve"> €</w:t>
      </w:r>
      <w:r w:rsidR="00136264">
        <w:rPr>
          <w:rFonts w:ascii="Times New Roman" w:hAnsi="Times New Roman" w:cs="Times New Roman"/>
        </w:rPr>
        <w:t>3,4</w:t>
      </w:r>
      <w:r w:rsidR="00136264" w:rsidRPr="00D25138">
        <w:rPr>
          <w:rFonts w:ascii="Times New Roman" w:hAnsi="Times New Roman" w:cs="Times New Roman"/>
        </w:rPr>
        <w:t xml:space="preserve">mld </w:t>
      </w:r>
      <w:r w:rsidR="00483A19" w:rsidRPr="00D25138">
        <w:rPr>
          <w:rFonts w:ascii="Times New Roman" w:hAnsi="Times New Roman" w:cs="Times New Roman"/>
        </w:rPr>
        <w:t>(+ 26%)</w:t>
      </w:r>
      <w:r w:rsidR="00FE633E" w:rsidRPr="00D25138">
        <w:rPr>
          <w:rFonts w:ascii="Times New Roman" w:hAnsi="Times New Roman" w:cs="Times New Roman"/>
        </w:rPr>
        <w:t>,</w:t>
      </w:r>
      <w:r w:rsidR="006F12B3" w:rsidRPr="00D25138">
        <w:rPr>
          <w:rFonts w:ascii="Times New Roman" w:hAnsi="Times New Roman" w:cs="Times New Roman"/>
        </w:rPr>
        <w:t xml:space="preserve"> </w:t>
      </w:r>
      <w:r w:rsidR="00FE633E" w:rsidRPr="00D25138">
        <w:rPr>
          <w:rFonts w:ascii="Times New Roman" w:hAnsi="Times New Roman" w:cs="Times New Roman"/>
        </w:rPr>
        <w:t xml:space="preserve">con oltre il </w:t>
      </w:r>
      <w:r w:rsidR="00FE633E" w:rsidRPr="00925890">
        <w:rPr>
          <w:rFonts w:ascii="Times New Roman" w:hAnsi="Times New Roman" w:cs="Times New Roman"/>
          <w:b/>
          <w:bCs/>
        </w:rPr>
        <w:t>50% delle masse gestite in accordo con i principi ESG sanciti dagli UN PRI</w:t>
      </w:r>
      <w:r w:rsidR="00FE633E" w:rsidRPr="00D25138">
        <w:rPr>
          <w:rFonts w:ascii="Times New Roman" w:hAnsi="Times New Roman" w:cs="Times New Roman"/>
        </w:rPr>
        <w:t xml:space="preserve">. Il numero di fondi mobiliari e immobiliari in capo al team di </w:t>
      </w:r>
      <w:r w:rsidR="00FE633E" w:rsidRPr="00925890">
        <w:rPr>
          <w:rFonts w:ascii="Times New Roman" w:hAnsi="Times New Roman" w:cs="Times New Roman"/>
          <w:b/>
          <w:bCs/>
        </w:rPr>
        <w:t>50 gestori della SGR</w:t>
      </w:r>
      <w:r w:rsidR="00FE633E" w:rsidRPr="00D25138">
        <w:rPr>
          <w:rFonts w:ascii="Times New Roman" w:hAnsi="Times New Roman" w:cs="Times New Roman"/>
        </w:rPr>
        <w:t xml:space="preserve"> si attestava a fine 2021 a </w:t>
      </w:r>
      <w:r w:rsidR="00136264">
        <w:rPr>
          <w:rFonts w:ascii="Times New Roman" w:hAnsi="Times New Roman" w:cs="Times New Roman"/>
        </w:rPr>
        <w:t>34</w:t>
      </w:r>
      <w:r w:rsidR="00FE633E" w:rsidRPr="00D25138">
        <w:rPr>
          <w:rFonts w:ascii="Times New Roman" w:hAnsi="Times New Roman" w:cs="Times New Roman"/>
        </w:rPr>
        <w:t>.</w:t>
      </w:r>
    </w:p>
    <w:p w14:paraId="4E1434BC" w14:textId="7C00FEF2" w:rsidR="00C700F1" w:rsidRPr="00D25138" w:rsidRDefault="00FE633E" w:rsidP="00526A76">
      <w:pPr>
        <w:jc w:val="both"/>
        <w:rPr>
          <w:rFonts w:ascii="Times New Roman" w:hAnsi="Times New Roman" w:cs="Times New Roman"/>
        </w:rPr>
      </w:pPr>
      <w:r w:rsidRPr="00D25138">
        <w:rPr>
          <w:rFonts w:ascii="Times New Roman" w:hAnsi="Times New Roman" w:cs="Times New Roman"/>
        </w:rPr>
        <w:t>La crescita del business della SGR</w:t>
      </w:r>
      <w:r w:rsidR="0023726D" w:rsidRPr="00D25138">
        <w:rPr>
          <w:rFonts w:ascii="Times New Roman" w:hAnsi="Times New Roman" w:cs="Times New Roman"/>
        </w:rPr>
        <w:t xml:space="preserve"> ha riguardato</w:t>
      </w:r>
      <w:r w:rsidR="006F12B3" w:rsidRPr="00D25138">
        <w:rPr>
          <w:rFonts w:ascii="Times New Roman" w:hAnsi="Times New Roman" w:cs="Times New Roman"/>
        </w:rPr>
        <w:t xml:space="preserve"> </w:t>
      </w:r>
      <w:r w:rsidR="0023726D" w:rsidRPr="00D25138">
        <w:rPr>
          <w:rFonts w:ascii="Times New Roman" w:hAnsi="Times New Roman" w:cs="Times New Roman"/>
        </w:rPr>
        <w:t xml:space="preserve">sia </w:t>
      </w:r>
      <w:r w:rsidR="006F12B3" w:rsidRPr="00925890">
        <w:rPr>
          <w:rFonts w:ascii="Times New Roman" w:hAnsi="Times New Roman" w:cs="Times New Roman"/>
          <w:b/>
          <w:bCs/>
        </w:rPr>
        <w:t>l’ambito</w:t>
      </w:r>
      <w:r w:rsidR="0023726D" w:rsidRPr="00925890">
        <w:rPr>
          <w:rFonts w:ascii="Times New Roman" w:hAnsi="Times New Roman" w:cs="Times New Roman"/>
          <w:b/>
          <w:bCs/>
        </w:rPr>
        <w:t xml:space="preserve"> mobiliare</w:t>
      </w:r>
      <w:r w:rsidR="006F12B3" w:rsidRPr="00D25138">
        <w:rPr>
          <w:rFonts w:ascii="Times New Roman" w:hAnsi="Times New Roman" w:cs="Times New Roman"/>
        </w:rPr>
        <w:t>,</w:t>
      </w:r>
      <w:r w:rsidR="0023726D" w:rsidRPr="00D25138">
        <w:rPr>
          <w:rFonts w:ascii="Times New Roman" w:hAnsi="Times New Roman" w:cs="Times New Roman"/>
        </w:rPr>
        <w:t xml:space="preserve"> con il lancio del nuovo fondo</w:t>
      </w:r>
      <w:r w:rsidR="006F12B3" w:rsidRPr="00D25138">
        <w:rPr>
          <w:rFonts w:ascii="Times New Roman" w:hAnsi="Times New Roman" w:cs="Times New Roman"/>
        </w:rPr>
        <w:t xml:space="preserve"> alternativo</w:t>
      </w:r>
      <w:r w:rsidR="0023726D" w:rsidRPr="00D25138">
        <w:rPr>
          <w:rFonts w:ascii="Times New Roman" w:hAnsi="Times New Roman" w:cs="Times New Roman"/>
        </w:rPr>
        <w:t xml:space="preserve"> “Finint Equity for Growth” che </w:t>
      </w:r>
      <w:r w:rsidR="006F12B3" w:rsidRPr="00D25138">
        <w:rPr>
          <w:rFonts w:ascii="Times New Roman" w:hAnsi="Times New Roman" w:cs="Times New Roman"/>
        </w:rPr>
        <w:t xml:space="preserve">fa capo alla </w:t>
      </w:r>
      <w:r w:rsidR="006F12B3" w:rsidRPr="00AD2381">
        <w:rPr>
          <w:rFonts w:ascii="Times New Roman" w:hAnsi="Times New Roman" w:cs="Times New Roman"/>
          <w:b/>
          <w:bCs/>
        </w:rPr>
        <w:t xml:space="preserve">neo costituita </w:t>
      </w:r>
      <w:r w:rsidR="0023726D" w:rsidRPr="00AD2381">
        <w:rPr>
          <w:rFonts w:ascii="Times New Roman" w:hAnsi="Times New Roman" w:cs="Times New Roman"/>
          <w:b/>
          <w:bCs/>
        </w:rPr>
        <w:t>divisione di private equity</w:t>
      </w:r>
      <w:r w:rsidR="0023726D" w:rsidRPr="00D25138">
        <w:rPr>
          <w:rFonts w:ascii="Times New Roman" w:hAnsi="Times New Roman" w:cs="Times New Roman"/>
        </w:rPr>
        <w:t xml:space="preserve"> </w:t>
      </w:r>
      <w:r w:rsidR="006F12B3" w:rsidRPr="00D25138">
        <w:rPr>
          <w:rFonts w:ascii="Times New Roman" w:hAnsi="Times New Roman" w:cs="Times New Roman"/>
        </w:rPr>
        <w:t xml:space="preserve">all’interno </w:t>
      </w:r>
      <w:r w:rsidR="0023726D" w:rsidRPr="00D25138">
        <w:rPr>
          <w:rFonts w:ascii="Times New Roman" w:hAnsi="Times New Roman" w:cs="Times New Roman"/>
        </w:rPr>
        <w:t>dell’area private capital</w:t>
      </w:r>
      <w:r w:rsidR="006F12B3" w:rsidRPr="00D25138">
        <w:rPr>
          <w:rFonts w:ascii="Times New Roman" w:hAnsi="Times New Roman" w:cs="Times New Roman"/>
        </w:rPr>
        <w:t>, sia l’ambito</w:t>
      </w:r>
      <w:r w:rsidR="0023726D" w:rsidRPr="00D25138">
        <w:rPr>
          <w:rFonts w:ascii="Times New Roman" w:hAnsi="Times New Roman" w:cs="Times New Roman"/>
        </w:rPr>
        <w:t xml:space="preserve"> </w:t>
      </w:r>
      <w:r w:rsidR="0023726D" w:rsidRPr="00925890">
        <w:rPr>
          <w:rFonts w:ascii="Times New Roman" w:hAnsi="Times New Roman" w:cs="Times New Roman"/>
          <w:b/>
          <w:bCs/>
        </w:rPr>
        <w:t>Real Estate</w:t>
      </w:r>
      <w:r w:rsidRPr="00D25138">
        <w:rPr>
          <w:rFonts w:ascii="Times New Roman" w:hAnsi="Times New Roman" w:cs="Times New Roman"/>
        </w:rPr>
        <w:t xml:space="preserve"> -</w:t>
      </w:r>
      <w:r w:rsidR="0023726D" w:rsidRPr="00D25138">
        <w:rPr>
          <w:rFonts w:ascii="Times New Roman" w:hAnsi="Times New Roman" w:cs="Times New Roman"/>
        </w:rPr>
        <w:t xml:space="preserve"> grazie in particolare al lancio dei fondi “Canadian Solar Finint Solare”</w:t>
      </w:r>
      <w:r w:rsidR="006F12B3" w:rsidRPr="00D25138">
        <w:rPr>
          <w:rFonts w:ascii="Times New Roman" w:hAnsi="Times New Roman" w:cs="Times New Roman"/>
        </w:rPr>
        <w:t xml:space="preserve"> in capo</w:t>
      </w:r>
      <w:r w:rsidR="0023726D" w:rsidRPr="00D25138">
        <w:rPr>
          <w:rFonts w:ascii="Times New Roman" w:hAnsi="Times New Roman" w:cs="Times New Roman"/>
        </w:rPr>
        <w:t xml:space="preserve"> </w:t>
      </w:r>
      <w:r w:rsidR="007E5BF6">
        <w:rPr>
          <w:rFonts w:ascii="Times New Roman" w:hAnsi="Times New Roman" w:cs="Times New Roman"/>
        </w:rPr>
        <w:t xml:space="preserve">alla </w:t>
      </w:r>
      <w:r w:rsidR="0023726D" w:rsidRPr="00D25138">
        <w:rPr>
          <w:rFonts w:ascii="Times New Roman" w:hAnsi="Times New Roman" w:cs="Times New Roman"/>
        </w:rPr>
        <w:t>divisione energy dell’area infrastructure</w:t>
      </w:r>
      <w:r w:rsidR="006F12B3" w:rsidRPr="00D25138">
        <w:rPr>
          <w:rFonts w:ascii="Times New Roman" w:hAnsi="Times New Roman" w:cs="Times New Roman"/>
        </w:rPr>
        <w:t xml:space="preserve"> e </w:t>
      </w:r>
      <w:r w:rsidR="0023726D" w:rsidRPr="00D25138">
        <w:rPr>
          <w:rFonts w:ascii="Times New Roman" w:hAnsi="Times New Roman" w:cs="Times New Roman"/>
        </w:rPr>
        <w:t>“Gran Torino”</w:t>
      </w:r>
      <w:r w:rsidR="006F12B3" w:rsidRPr="00D25138">
        <w:rPr>
          <w:rFonts w:ascii="Times New Roman" w:hAnsi="Times New Roman" w:cs="Times New Roman"/>
        </w:rPr>
        <w:t>,</w:t>
      </w:r>
      <w:r w:rsidR="0023726D" w:rsidRPr="00D25138">
        <w:rPr>
          <w:rFonts w:ascii="Times New Roman" w:hAnsi="Times New Roman" w:cs="Times New Roman"/>
        </w:rPr>
        <w:t xml:space="preserve"> che si inserisce nell’area real estate</w:t>
      </w:r>
      <w:r w:rsidRPr="00D25138">
        <w:rPr>
          <w:rFonts w:ascii="Times New Roman" w:hAnsi="Times New Roman" w:cs="Times New Roman"/>
        </w:rPr>
        <w:t xml:space="preserve"> -</w:t>
      </w:r>
      <w:r w:rsidR="006F12B3" w:rsidRPr="00D25138">
        <w:rPr>
          <w:rFonts w:ascii="Times New Roman" w:hAnsi="Times New Roman" w:cs="Times New Roman"/>
        </w:rPr>
        <w:t xml:space="preserve"> oltre al subentro nella gestione dei fondi “Aida”, “Nabucco” e “Norma” per conto della SIAE</w:t>
      </w:r>
      <w:r w:rsidR="007E5BF6">
        <w:rPr>
          <w:rFonts w:ascii="Times New Roman" w:hAnsi="Times New Roman" w:cs="Times New Roman"/>
        </w:rPr>
        <w:t xml:space="preserve"> </w:t>
      </w:r>
      <w:r w:rsidR="007E5BF6" w:rsidRPr="003C0364">
        <w:rPr>
          <w:rFonts w:ascii="Times New Roman" w:hAnsi="Times New Roman" w:cs="Times New Roman"/>
        </w:rPr>
        <w:t>(</w:t>
      </w:r>
      <w:r w:rsidR="003C0364" w:rsidRPr="003C0364">
        <w:rPr>
          <w:rFonts w:ascii="Times New Roman" w:hAnsi="Times New Roman" w:cs="Times New Roman"/>
        </w:rPr>
        <w:t>Società Italiana degli Autori ed Editori</w:t>
      </w:r>
      <w:r w:rsidR="003C0364">
        <w:rPr>
          <w:rFonts w:ascii="Times New Roman" w:hAnsi="Times New Roman" w:cs="Times New Roman"/>
        </w:rPr>
        <w:t>)</w:t>
      </w:r>
      <w:r w:rsidR="00206A3D">
        <w:rPr>
          <w:rFonts w:ascii="Times New Roman" w:hAnsi="Times New Roman" w:cs="Times New Roman"/>
        </w:rPr>
        <w:t>.</w:t>
      </w:r>
    </w:p>
    <w:p w14:paraId="5D497214" w14:textId="77777777" w:rsidR="00A44AC9" w:rsidRPr="00D25138" w:rsidRDefault="00A44AC9" w:rsidP="00526A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301BD5" w14:textId="3B257EB7" w:rsidR="00574341" w:rsidRPr="00D25138" w:rsidRDefault="005107DD" w:rsidP="005743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5138">
        <w:rPr>
          <w:rFonts w:ascii="Times New Roman" w:hAnsi="Times New Roman" w:cs="Times New Roman"/>
        </w:rPr>
        <w:t>*</w:t>
      </w:r>
      <w:r w:rsidR="00574341" w:rsidRPr="00D25138">
        <w:rPr>
          <w:rFonts w:ascii="Times New Roman" w:hAnsi="Times New Roman" w:cs="Times New Roman"/>
        </w:rPr>
        <w:t>**</w:t>
      </w:r>
    </w:p>
    <w:p w14:paraId="1EA87ECA" w14:textId="77777777" w:rsidR="009F797F" w:rsidRPr="00D25138" w:rsidRDefault="009F797F" w:rsidP="00C4461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4DF01" w14:textId="77777777" w:rsidR="00574341" w:rsidRPr="00D25138" w:rsidRDefault="00574341" w:rsidP="00B4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8BBF81D" w14:textId="2646D285" w:rsidR="00425778" w:rsidRPr="00B70CE2" w:rsidRDefault="00E44838" w:rsidP="00B4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 ulteriori informazioni</w:t>
      </w:r>
    </w:p>
    <w:p w14:paraId="3E2A46B4" w14:textId="77777777" w:rsidR="009E06BB" w:rsidRPr="00D25138" w:rsidRDefault="009E06BB" w:rsidP="00B4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D526C87" w14:textId="77777777" w:rsidR="00E44838" w:rsidRPr="007E5BF6" w:rsidRDefault="00E44838" w:rsidP="00E4483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E5BF6">
        <w:rPr>
          <w:rFonts w:ascii="Times New Roman" w:hAnsi="Times New Roman" w:cs="Times New Roman"/>
          <w:b/>
          <w:bCs/>
          <w:sz w:val="20"/>
          <w:szCs w:val="20"/>
        </w:rPr>
        <w:t>Community – Strategic Communications Advisers</w:t>
      </w:r>
      <w:r w:rsidRPr="007E5BF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E1A49B0" w14:textId="77777777" w:rsidR="00E44838" w:rsidRPr="00410B74" w:rsidRDefault="00E44838" w:rsidP="00E44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BF6">
        <w:rPr>
          <w:rFonts w:ascii="Times New Roman" w:hAnsi="Times New Roman" w:cs="Times New Roman"/>
          <w:sz w:val="20"/>
          <w:szCs w:val="20"/>
        </w:rPr>
        <w:t xml:space="preserve">Giovanna Benvenuti – Tel. </w:t>
      </w:r>
      <w:r w:rsidRPr="00410B74">
        <w:rPr>
          <w:rFonts w:ascii="Times New Roman" w:hAnsi="Times New Roman" w:cs="Times New Roman"/>
          <w:sz w:val="20"/>
          <w:szCs w:val="20"/>
        </w:rPr>
        <w:t>+39 3469702981</w:t>
      </w:r>
    </w:p>
    <w:p w14:paraId="0189CC31" w14:textId="77777777" w:rsidR="00E44838" w:rsidRPr="00410B74" w:rsidRDefault="00E44838" w:rsidP="00E44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B74">
        <w:rPr>
          <w:rFonts w:ascii="Times New Roman" w:hAnsi="Times New Roman" w:cs="Times New Roman"/>
          <w:sz w:val="20"/>
          <w:szCs w:val="20"/>
        </w:rPr>
        <w:t>Laura Meneghetti – Tel. +39 335 8354337</w:t>
      </w:r>
    </w:p>
    <w:p w14:paraId="1E6B32F8" w14:textId="77777777" w:rsidR="00E44838" w:rsidRPr="00410B74" w:rsidRDefault="00E44838" w:rsidP="00E44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B74">
        <w:rPr>
          <w:rFonts w:ascii="Times New Roman" w:hAnsi="Times New Roman" w:cs="Times New Roman"/>
          <w:sz w:val="20"/>
          <w:szCs w:val="20"/>
        </w:rPr>
        <w:t xml:space="preserve">Milano +39 02 89404231 | Treviso +39 0422 416111 - </w:t>
      </w:r>
      <w:hyperlink r:id="rId8" w:history="1">
        <w:r w:rsidRPr="00410B74">
          <w:rPr>
            <w:rStyle w:val="Collegamentoipertestuale"/>
            <w:rFonts w:ascii="Times New Roman" w:hAnsi="Times New Roman" w:cs="Times New Roman"/>
            <w:sz w:val="20"/>
            <w:szCs w:val="20"/>
          </w:rPr>
          <w:t>finint@communitygroup.it</w:t>
        </w:r>
      </w:hyperlink>
      <w:r w:rsidRPr="00410B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8F0C4B" w14:textId="77777777" w:rsidR="00E44838" w:rsidRPr="00410B74" w:rsidRDefault="00E44838" w:rsidP="00E44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D76111" w14:textId="77777777" w:rsidR="00E44838" w:rsidRPr="00410B74" w:rsidRDefault="00E44838" w:rsidP="00E44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0B74">
        <w:rPr>
          <w:rFonts w:ascii="Times New Roman" w:hAnsi="Times New Roman" w:cs="Times New Roman"/>
          <w:b/>
          <w:bCs/>
          <w:sz w:val="20"/>
          <w:szCs w:val="20"/>
        </w:rPr>
        <w:t xml:space="preserve">Banca Finint - </w:t>
      </w:r>
      <w:r>
        <w:rPr>
          <w:rFonts w:ascii="Times New Roman" w:hAnsi="Times New Roman" w:cs="Times New Roman"/>
          <w:b/>
          <w:bCs/>
          <w:sz w:val="20"/>
          <w:szCs w:val="20"/>
        </w:rPr>
        <w:t>Direzione</w:t>
      </w:r>
      <w:r w:rsidRPr="00410B74">
        <w:rPr>
          <w:rFonts w:ascii="Times New Roman" w:hAnsi="Times New Roman" w:cs="Times New Roman"/>
          <w:b/>
          <w:bCs/>
          <w:sz w:val="20"/>
          <w:szCs w:val="20"/>
        </w:rPr>
        <w:t xml:space="preserve"> Comunicazione</w:t>
      </w:r>
    </w:p>
    <w:p w14:paraId="5CB393C4" w14:textId="77777777" w:rsidR="00E44838" w:rsidRPr="00410B74" w:rsidRDefault="00E44838" w:rsidP="00E44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B74">
        <w:rPr>
          <w:rFonts w:ascii="Times New Roman" w:hAnsi="Times New Roman" w:cs="Times New Roman"/>
          <w:sz w:val="20"/>
          <w:szCs w:val="20"/>
        </w:rPr>
        <w:t xml:space="preserve">Paola Biscaldi – Tel. +39 348 8446876 - </w:t>
      </w:r>
      <w:hyperlink r:id="rId9" w:history="1">
        <w:r w:rsidRPr="00410B74">
          <w:rPr>
            <w:rStyle w:val="Collegamentoipertestuale"/>
            <w:rFonts w:ascii="Times New Roman" w:hAnsi="Times New Roman" w:cs="Times New Roman"/>
            <w:sz w:val="20"/>
            <w:szCs w:val="20"/>
          </w:rPr>
          <w:t>paola.biscaldi@bancafinint.com</w:t>
        </w:r>
      </w:hyperlink>
    </w:p>
    <w:p w14:paraId="7038AC67" w14:textId="77777777" w:rsidR="00E44838" w:rsidRPr="00410B74" w:rsidRDefault="00E44838" w:rsidP="00E44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0B74">
        <w:rPr>
          <w:rFonts w:ascii="Times New Roman" w:hAnsi="Times New Roman" w:cs="Times New Roman"/>
          <w:sz w:val="20"/>
          <w:szCs w:val="20"/>
        </w:rPr>
        <w:t xml:space="preserve">Eleonora Riva – Tel. + 39 0438/360679 - </w:t>
      </w:r>
      <w:hyperlink r:id="rId10" w:history="1">
        <w:r w:rsidRPr="00410B74">
          <w:rPr>
            <w:rStyle w:val="Collegamentoipertestuale"/>
            <w:rFonts w:ascii="Times New Roman" w:hAnsi="Times New Roman" w:cs="Times New Roman"/>
            <w:sz w:val="20"/>
            <w:szCs w:val="20"/>
          </w:rPr>
          <w:t>eleonora.riva@bancafinint.com</w:t>
        </w:r>
      </w:hyperlink>
      <w:r w:rsidRPr="00410B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ACE8178" w14:textId="77777777" w:rsidR="00D31460" w:rsidRPr="009F797F" w:rsidRDefault="00D31460" w:rsidP="00D3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D31460" w:rsidRPr="009F797F" w:rsidSect="00C120A5">
      <w:headerReference w:type="default" r:id="rId11"/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110E" w14:textId="77777777" w:rsidR="00E874EC" w:rsidRDefault="00E874EC" w:rsidP="00C13DE0">
      <w:pPr>
        <w:spacing w:after="0" w:line="240" w:lineRule="auto"/>
      </w:pPr>
      <w:r>
        <w:separator/>
      </w:r>
    </w:p>
  </w:endnote>
  <w:endnote w:type="continuationSeparator" w:id="0">
    <w:p w14:paraId="19FE017E" w14:textId="77777777" w:rsidR="00E874EC" w:rsidRDefault="00E874EC" w:rsidP="00C13DE0">
      <w:pPr>
        <w:spacing w:after="0" w:line="240" w:lineRule="auto"/>
      </w:pPr>
      <w:r>
        <w:continuationSeparator/>
      </w:r>
    </w:p>
  </w:endnote>
  <w:endnote w:type="continuationNotice" w:id="1">
    <w:p w14:paraId="579967BA" w14:textId="77777777" w:rsidR="00E874EC" w:rsidRDefault="00E87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4CF0" w14:textId="77777777" w:rsidR="00E874EC" w:rsidRDefault="00E874EC" w:rsidP="00C13DE0">
      <w:pPr>
        <w:spacing w:after="0" w:line="240" w:lineRule="auto"/>
      </w:pPr>
      <w:r>
        <w:separator/>
      </w:r>
    </w:p>
  </w:footnote>
  <w:footnote w:type="continuationSeparator" w:id="0">
    <w:p w14:paraId="639CDBCC" w14:textId="77777777" w:rsidR="00E874EC" w:rsidRDefault="00E874EC" w:rsidP="00C13DE0">
      <w:pPr>
        <w:spacing w:after="0" w:line="240" w:lineRule="auto"/>
      </w:pPr>
      <w:r>
        <w:continuationSeparator/>
      </w:r>
    </w:p>
  </w:footnote>
  <w:footnote w:type="continuationNotice" w:id="1">
    <w:p w14:paraId="55F1FF77" w14:textId="77777777" w:rsidR="00E874EC" w:rsidRDefault="00E874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CE0D" w14:textId="258302AD" w:rsidR="00144786" w:rsidRDefault="00DF25C8">
    <w:pPr>
      <w:pStyle w:val="Intestazione"/>
    </w:pPr>
    <w:r>
      <w:rPr>
        <w:b/>
        <w:i/>
        <w:noProof/>
        <w:sz w:val="28"/>
        <w:lang w:eastAsia="it-IT"/>
      </w:rPr>
      <w:drawing>
        <wp:anchor distT="0" distB="0" distL="114300" distR="114300" simplePos="0" relativeHeight="251658240" behindDoc="1" locked="0" layoutInCell="1" allowOverlap="1" wp14:anchorId="45D18836" wp14:editId="22FDBC32">
          <wp:simplePos x="0" y="0"/>
          <wp:positionH relativeFrom="column">
            <wp:posOffset>2194560</wp:posOffset>
          </wp:positionH>
          <wp:positionV relativeFrom="paragraph">
            <wp:posOffset>-716280</wp:posOffset>
          </wp:positionV>
          <wp:extent cx="1666875" cy="1666875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430"/>
    <w:multiLevelType w:val="hybridMultilevel"/>
    <w:tmpl w:val="619E7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63C"/>
    <w:multiLevelType w:val="hybridMultilevel"/>
    <w:tmpl w:val="C89A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1389"/>
    <w:multiLevelType w:val="hybridMultilevel"/>
    <w:tmpl w:val="2844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3C04"/>
    <w:multiLevelType w:val="hybridMultilevel"/>
    <w:tmpl w:val="3CB2E9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086A"/>
    <w:multiLevelType w:val="hybridMultilevel"/>
    <w:tmpl w:val="F44211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00AA"/>
    <w:multiLevelType w:val="hybridMultilevel"/>
    <w:tmpl w:val="62EECA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E353C"/>
    <w:multiLevelType w:val="hybridMultilevel"/>
    <w:tmpl w:val="1894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C0158"/>
    <w:multiLevelType w:val="hybridMultilevel"/>
    <w:tmpl w:val="87A663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74"/>
    <w:rsid w:val="00003D25"/>
    <w:rsid w:val="00010FDB"/>
    <w:rsid w:val="00015D81"/>
    <w:rsid w:val="000309A5"/>
    <w:rsid w:val="00031274"/>
    <w:rsid w:val="00031DFE"/>
    <w:rsid w:val="00052194"/>
    <w:rsid w:val="00065E94"/>
    <w:rsid w:val="00074C19"/>
    <w:rsid w:val="0008085D"/>
    <w:rsid w:val="00081857"/>
    <w:rsid w:val="00082F7C"/>
    <w:rsid w:val="00093589"/>
    <w:rsid w:val="000B12FF"/>
    <w:rsid w:val="000B1E71"/>
    <w:rsid w:val="000B3189"/>
    <w:rsid w:val="000B4649"/>
    <w:rsid w:val="000B7F20"/>
    <w:rsid w:val="000C06A0"/>
    <w:rsid w:val="000C0931"/>
    <w:rsid w:val="000C15AD"/>
    <w:rsid w:val="000C6B0B"/>
    <w:rsid w:val="000E05D8"/>
    <w:rsid w:val="000E48D0"/>
    <w:rsid w:val="000F3AB0"/>
    <w:rsid w:val="000F5A19"/>
    <w:rsid w:val="000F6758"/>
    <w:rsid w:val="000F7CFB"/>
    <w:rsid w:val="0011292E"/>
    <w:rsid w:val="0011294B"/>
    <w:rsid w:val="00113915"/>
    <w:rsid w:val="0011612D"/>
    <w:rsid w:val="001177DF"/>
    <w:rsid w:val="00127F3F"/>
    <w:rsid w:val="00134CE9"/>
    <w:rsid w:val="00136264"/>
    <w:rsid w:val="001409B2"/>
    <w:rsid w:val="00144786"/>
    <w:rsid w:val="001454C9"/>
    <w:rsid w:val="00152D4A"/>
    <w:rsid w:val="00155D9C"/>
    <w:rsid w:val="00157C46"/>
    <w:rsid w:val="001616D7"/>
    <w:rsid w:val="001634CF"/>
    <w:rsid w:val="0017032A"/>
    <w:rsid w:val="00191BBB"/>
    <w:rsid w:val="001948A6"/>
    <w:rsid w:val="001A2275"/>
    <w:rsid w:val="001A4F30"/>
    <w:rsid w:val="001B1304"/>
    <w:rsid w:val="001B7A2F"/>
    <w:rsid w:val="001C04A0"/>
    <w:rsid w:val="001C5DC4"/>
    <w:rsid w:val="001D7267"/>
    <w:rsid w:val="001E3D8D"/>
    <w:rsid w:val="001F2E87"/>
    <w:rsid w:val="002017D0"/>
    <w:rsid w:val="00202D66"/>
    <w:rsid w:val="00206A3D"/>
    <w:rsid w:val="00210DBD"/>
    <w:rsid w:val="002147C1"/>
    <w:rsid w:val="002165C1"/>
    <w:rsid w:val="00226167"/>
    <w:rsid w:val="0023309F"/>
    <w:rsid w:val="00233511"/>
    <w:rsid w:val="00234D0C"/>
    <w:rsid w:val="0023726D"/>
    <w:rsid w:val="00241371"/>
    <w:rsid w:val="00242416"/>
    <w:rsid w:val="00243B2A"/>
    <w:rsid w:val="00244248"/>
    <w:rsid w:val="00252195"/>
    <w:rsid w:val="002543F3"/>
    <w:rsid w:val="00254C4D"/>
    <w:rsid w:val="00262D76"/>
    <w:rsid w:val="0027259B"/>
    <w:rsid w:val="00272A11"/>
    <w:rsid w:val="00275377"/>
    <w:rsid w:val="00276695"/>
    <w:rsid w:val="00281429"/>
    <w:rsid w:val="002850EE"/>
    <w:rsid w:val="00285E5E"/>
    <w:rsid w:val="002A4274"/>
    <w:rsid w:val="002B492D"/>
    <w:rsid w:val="002B6D1E"/>
    <w:rsid w:val="002B7BBE"/>
    <w:rsid w:val="002C4776"/>
    <w:rsid w:val="002D3149"/>
    <w:rsid w:val="002D62D5"/>
    <w:rsid w:val="002E23E1"/>
    <w:rsid w:val="002E5262"/>
    <w:rsid w:val="002F41F6"/>
    <w:rsid w:val="003145CC"/>
    <w:rsid w:val="00314658"/>
    <w:rsid w:val="00317762"/>
    <w:rsid w:val="00326DD0"/>
    <w:rsid w:val="00334422"/>
    <w:rsid w:val="00344406"/>
    <w:rsid w:val="00346237"/>
    <w:rsid w:val="00355577"/>
    <w:rsid w:val="00362C74"/>
    <w:rsid w:val="00370E63"/>
    <w:rsid w:val="0039028C"/>
    <w:rsid w:val="00393497"/>
    <w:rsid w:val="00397549"/>
    <w:rsid w:val="003C0364"/>
    <w:rsid w:val="003C05EB"/>
    <w:rsid w:val="003C3333"/>
    <w:rsid w:val="003C40AF"/>
    <w:rsid w:val="003D042A"/>
    <w:rsid w:val="003D1FB1"/>
    <w:rsid w:val="003D52BA"/>
    <w:rsid w:val="003D7DB9"/>
    <w:rsid w:val="003E6CC2"/>
    <w:rsid w:val="003F7691"/>
    <w:rsid w:val="00400C14"/>
    <w:rsid w:val="00410C9B"/>
    <w:rsid w:val="00420A29"/>
    <w:rsid w:val="00420F5F"/>
    <w:rsid w:val="00422E57"/>
    <w:rsid w:val="00423B94"/>
    <w:rsid w:val="004255B1"/>
    <w:rsid w:val="00425778"/>
    <w:rsid w:val="00440F36"/>
    <w:rsid w:val="00444366"/>
    <w:rsid w:val="004451C1"/>
    <w:rsid w:val="00447B0C"/>
    <w:rsid w:val="00450303"/>
    <w:rsid w:val="0045226C"/>
    <w:rsid w:val="00453CCA"/>
    <w:rsid w:val="00455641"/>
    <w:rsid w:val="00455C70"/>
    <w:rsid w:val="00465D6B"/>
    <w:rsid w:val="00470BE7"/>
    <w:rsid w:val="004724D2"/>
    <w:rsid w:val="00472673"/>
    <w:rsid w:val="00475069"/>
    <w:rsid w:val="00483A19"/>
    <w:rsid w:val="00487196"/>
    <w:rsid w:val="004A6FDC"/>
    <w:rsid w:val="004A7E39"/>
    <w:rsid w:val="004B0E86"/>
    <w:rsid w:val="004B432A"/>
    <w:rsid w:val="004B4BC3"/>
    <w:rsid w:val="004C51E6"/>
    <w:rsid w:val="004D076A"/>
    <w:rsid w:val="004D2C59"/>
    <w:rsid w:val="004D2F10"/>
    <w:rsid w:val="004D369C"/>
    <w:rsid w:val="004D6A48"/>
    <w:rsid w:val="00500CD6"/>
    <w:rsid w:val="00506C8E"/>
    <w:rsid w:val="005107DD"/>
    <w:rsid w:val="0051416E"/>
    <w:rsid w:val="00524910"/>
    <w:rsid w:val="00526A76"/>
    <w:rsid w:val="00527F0E"/>
    <w:rsid w:val="00550AAE"/>
    <w:rsid w:val="00552616"/>
    <w:rsid w:val="00570E2F"/>
    <w:rsid w:val="00574341"/>
    <w:rsid w:val="00574D74"/>
    <w:rsid w:val="005813F6"/>
    <w:rsid w:val="00593297"/>
    <w:rsid w:val="00597260"/>
    <w:rsid w:val="005A0A69"/>
    <w:rsid w:val="005A450E"/>
    <w:rsid w:val="005B1511"/>
    <w:rsid w:val="005B5412"/>
    <w:rsid w:val="005B6E55"/>
    <w:rsid w:val="005B7C5F"/>
    <w:rsid w:val="005C33DA"/>
    <w:rsid w:val="005D1259"/>
    <w:rsid w:val="005D30C1"/>
    <w:rsid w:val="005D5DE1"/>
    <w:rsid w:val="005E4E76"/>
    <w:rsid w:val="005F196E"/>
    <w:rsid w:val="005F23DD"/>
    <w:rsid w:val="005F5678"/>
    <w:rsid w:val="00603C89"/>
    <w:rsid w:val="00607F04"/>
    <w:rsid w:val="00616010"/>
    <w:rsid w:val="006237C3"/>
    <w:rsid w:val="00626C63"/>
    <w:rsid w:val="00627CA0"/>
    <w:rsid w:val="0063795A"/>
    <w:rsid w:val="006430FB"/>
    <w:rsid w:val="006558BA"/>
    <w:rsid w:val="00666A2F"/>
    <w:rsid w:val="00667ED0"/>
    <w:rsid w:val="006704BA"/>
    <w:rsid w:val="006714E5"/>
    <w:rsid w:val="00691648"/>
    <w:rsid w:val="006A164F"/>
    <w:rsid w:val="006A4548"/>
    <w:rsid w:val="006B0456"/>
    <w:rsid w:val="006B0819"/>
    <w:rsid w:val="006B39C7"/>
    <w:rsid w:val="006C06A5"/>
    <w:rsid w:val="006C37D3"/>
    <w:rsid w:val="006D2A43"/>
    <w:rsid w:val="006E05E9"/>
    <w:rsid w:val="006F05E2"/>
    <w:rsid w:val="006F12B3"/>
    <w:rsid w:val="006F4DEA"/>
    <w:rsid w:val="006F5EF0"/>
    <w:rsid w:val="0070453A"/>
    <w:rsid w:val="007060F5"/>
    <w:rsid w:val="00710FC5"/>
    <w:rsid w:val="00726604"/>
    <w:rsid w:val="00747B3D"/>
    <w:rsid w:val="00751E6A"/>
    <w:rsid w:val="00754332"/>
    <w:rsid w:val="007548F7"/>
    <w:rsid w:val="00756227"/>
    <w:rsid w:val="0076403A"/>
    <w:rsid w:val="00764240"/>
    <w:rsid w:val="00775F77"/>
    <w:rsid w:val="00783996"/>
    <w:rsid w:val="0078403F"/>
    <w:rsid w:val="00792BD7"/>
    <w:rsid w:val="007966B6"/>
    <w:rsid w:val="007A371D"/>
    <w:rsid w:val="007A4AD0"/>
    <w:rsid w:val="007A5CA2"/>
    <w:rsid w:val="007A64FC"/>
    <w:rsid w:val="007B0289"/>
    <w:rsid w:val="007B34E5"/>
    <w:rsid w:val="007B4E6C"/>
    <w:rsid w:val="007C3200"/>
    <w:rsid w:val="007C5CEF"/>
    <w:rsid w:val="007C5CF2"/>
    <w:rsid w:val="007D1148"/>
    <w:rsid w:val="007D1C51"/>
    <w:rsid w:val="007D4C47"/>
    <w:rsid w:val="007E4CF2"/>
    <w:rsid w:val="007E5BF6"/>
    <w:rsid w:val="007F1821"/>
    <w:rsid w:val="0081171F"/>
    <w:rsid w:val="00811DE0"/>
    <w:rsid w:val="00814F2D"/>
    <w:rsid w:val="00816F3D"/>
    <w:rsid w:val="00817920"/>
    <w:rsid w:val="00817B9B"/>
    <w:rsid w:val="008226D5"/>
    <w:rsid w:val="00830A10"/>
    <w:rsid w:val="00830E8A"/>
    <w:rsid w:val="00842880"/>
    <w:rsid w:val="00845810"/>
    <w:rsid w:val="00862EE9"/>
    <w:rsid w:val="00865BCA"/>
    <w:rsid w:val="00866F75"/>
    <w:rsid w:val="008754D8"/>
    <w:rsid w:val="00883363"/>
    <w:rsid w:val="00884E8A"/>
    <w:rsid w:val="00886EEB"/>
    <w:rsid w:val="008A5C23"/>
    <w:rsid w:val="008A6BF4"/>
    <w:rsid w:val="008C1167"/>
    <w:rsid w:val="008C40A6"/>
    <w:rsid w:val="008C75FD"/>
    <w:rsid w:val="008E504D"/>
    <w:rsid w:val="008E7569"/>
    <w:rsid w:val="008F0E64"/>
    <w:rsid w:val="009001C2"/>
    <w:rsid w:val="009056DC"/>
    <w:rsid w:val="00906E29"/>
    <w:rsid w:val="00912B01"/>
    <w:rsid w:val="0091517C"/>
    <w:rsid w:val="009241A1"/>
    <w:rsid w:val="00925890"/>
    <w:rsid w:val="00943D58"/>
    <w:rsid w:val="00944A78"/>
    <w:rsid w:val="0094596C"/>
    <w:rsid w:val="00954A69"/>
    <w:rsid w:val="0096389E"/>
    <w:rsid w:val="00965A69"/>
    <w:rsid w:val="00967D86"/>
    <w:rsid w:val="00970E9E"/>
    <w:rsid w:val="00971101"/>
    <w:rsid w:val="00975AA8"/>
    <w:rsid w:val="0097719E"/>
    <w:rsid w:val="00985308"/>
    <w:rsid w:val="00986A8A"/>
    <w:rsid w:val="009872BA"/>
    <w:rsid w:val="00995C93"/>
    <w:rsid w:val="009A03A2"/>
    <w:rsid w:val="009A1404"/>
    <w:rsid w:val="009A369F"/>
    <w:rsid w:val="009A7ABE"/>
    <w:rsid w:val="009D1302"/>
    <w:rsid w:val="009D22A8"/>
    <w:rsid w:val="009E0137"/>
    <w:rsid w:val="009E06BB"/>
    <w:rsid w:val="009E1E84"/>
    <w:rsid w:val="009E6299"/>
    <w:rsid w:val="009E773A"/>
    <w:rsid w:val="009F3159"/>
    <w:rsid w:val="009F32A2"/>
    <w:rsid w:val="009F797F"/>
    <w:rsid w:val="00A02F91"/>
    <w:rsid w:val="00A13482"/>
    <w:rsid w:val="00A20EBB"/>
    <w:rsid w:val="00A21AB9"/>
    <w:rsid w:val="00A30BF0"/>
    <w:rsid w:val="00A41371"/>
    <w:rsid w:val="00A44AC9"/>
    <w:rsid w:val="00A472B1"/>
    <w:rsid w:val="00A573B0"/>
    <w:rsid w:val="00A60D2B"/>
    <w:rsid w:val="00A63E12"/>
    <w:rsid w:val="00A66986"/>
    <w:rsid w:val="00A74F6C"/>
    <w:rsid w:val="00A76267"/>
    <w:rsid w:val="00A83984"/>
    <w:rsid w:val="00A83C4E"/>
    <w:rsid w:val="00A97A48"/>
    <w:rsid w:val="00AA0E1A"/>
    <w:rsid w:val="00AA2AA4"/>
    <w:rsid w:val="00AB0024"/>
    <w:rsid w:val="00AB4C5C"/>
    <w:rsid w:val="00AC0B62"/>
    <w:rsid w:val="00AC1062"/>
    <w:rsid w:val="00AD2381"/>
    <w:rsid w:val="00B0279E"/>
    <w:rsid w:val="00B104F2"/>
    <w:rsid w:val="00B14E54"/>
    <w:rsid w:val="00B159B3"/>
    <w:rsid w:val="00B270FE"/>
    <w:rsid w:val="00B3294A"/>
    <w:rsid w:val="00B32BA7"/>
    <w:rsid w:val="00B41E63"/>
    <w:rsid w:val="00B42F64"/>
    <w:rsid w:val="00B50399"/>
    <w:rsid w:val="00B50892"/>
    <w:rsid w:val="00B51926"/>
    <w:rsid w:val="00B57635"/>
    <w:rsid w:val="00B70CE2"/>
    <w:rsid w:val="00B76C23"/>
    <w:rsid w:val="00B86A9F"/>
    <w:rsid w:val="00B90C3B"/>
    <w:rsid w:val="00B9482C"/>
    <w:rsid w:val="00BA21F2"/>
    <w:rsid w:val="00BC703C"/>
    <w:rsid w:val="00BD1CF7"/>
    <w:rsid w:val="00BD31D7"/>
    <w:rsid w:val="00BD3AE3"/>
    <w:rsid w:val="00BE4DED"/>
    <w:rsid w:val="00BF2752"/>
    <w:rsid w:val="00C001F7"/>
    <w:rsid w:val="00C024A1"/>
    <w:rsid w:val="00C047DF"/>
    <w:rsid w:val="00C04A9F"/>
    <w:rsid w:val="00C10B59"/>
    <w:rsid w:val="00C120A5"/>
    <w:rsid w:val="00C13DE0"/>
    <w:rsid w:val="00C2564F"/>
    <w:rsid w:val="00C331DC"/>
    <w:rsid w:val="00C33F13"/>
    <w:rsid w:val="00C445C6"/>
    <w:rsid w:val="00C44615"/>
    <w:rsid w:val="00C44618"/>
    <w:rsid w:val="00C45401"/>
    <w:rsid w:val="00C55967"/>
    <w:rsid w:val="00C60BD8"/>
    <w:rsid w:val="00C63AAE"/>
    <w:rsid w:val="00C700F1"/>
    <w:rsid w:val="00C83F52"/>
    <w:rsid w:val="00C86868"/>
    <w:rsid w:val="00C87542"/>
    <w:rsid w:val="00C91336"/>
    <w:rsid w:val="00C91ABC"/>
    <w:rsid w:val="00C924C7"/>
    <w:rsid w:val="00C93B6B"/>
    <w:rsid w:val="00CA15B4"/>
    <w:rsid w:val="00CA40A1"/>
    <w:rsid w:val="00CA6424"/>
    <w:rsid w:val="00CA7453"/>
    <w:rsid w:val="00CB0385"/>
    <w:rsid w:val="00CB30C2"/>
    <w:rsid w:val="00CD0F98"/>
    <w:rsid w:val="00CD5999"/>
    <w:rsid w:val="00CE01D9"/>
    <w:rsid w:val="00CE0498"/>
    <w:rsid w:val="00CE57B8"/>
    <w:rsid w:val="00CE707D"/>
    <w:rsid w:val="00CF1A5C"/>
    <w:rsid w:val="00CF20D2"/>
    <w:rsid w:val="00D00A3A"/>
    <w:rsid w:val="00D02D5E"/>
    <w:rsid w:val="00D03E80"/>
    <w:rsid w:val="00D05637"/>
    <w:rsid w:val="00D05AB5"/>
    <w:rsid w:val="00D122C2"/>
    <w:rsid w:val="00D2308C"/>
    <w:rsid w:val="00D25138"/>
    <w:rsid w:val="00D31460"/>
    <w:rsid w:val="00D34875"/>
    <w:rsid w:val="00D37F07"/>
    <w:rsid w:val="00D44BFA"/>
    <w:rsid w:val="00D53F1C"/>
    <w:rsid w:val="00D54BF0"/>
    <w:rsid w:val="00D570AC"/>
    <w:rsid w:val="00D60BEB"/>
    <w:rsid w:val="00D72214"/>
    <w:rsid w:val="00D7426A"/>
    <w:rsid w:val="00D82C67"/>
    <w:rsid w:val="00D92420"/>
    <w:rsid w:val="00D9463E"/>
    <w:rsid w:val="00D979E8"/>
    <w:rsid w:val="00DA43C2"/>
    <w:rsid w:val="00DA5367"/>
    <w:rsid w:val="00DB16CA"/>
    <w:rsid w:val="00DE109B"/>
    <w:rsid w:val="00DE1363"/>
    <w:rsid w:val="00DE4BDF"/>
    <w:rsid w:val="00DE6045"/>
    <w:rsid w:val="00DF0FCB"/>
    <w:rsid w:val="00DF13D8"/>
    <w:rsid w:val="00DF209E"/>
    <w:rsid w:val="00DF25C8"/>
    <w:rsid w:val="00DF6221"/>
    <w:rsid w:val="00E13E8A"/>
    <w:rsid w:val="00E14096"/>
    <w:rsid w:val="00E15537"/>
    <w:rsid w:val="00E20BD3"/>
    <w:rsid w:val="00E3001F"/>
    <w:rsid w:val="00E40EE4"/>
    <w:rsid w:val="00E44838"/>
    <w:rsid w:val="00E465E4"/>
    <w:rsid w:val="00E47917"/>
    <w:rsid w:val="00E77D30"/>
    <w:rsid w:val="00E874EC"/>
    <w:rsid w:val="00E878A3"/>
    <w:rsid w:val="00E90752"/>
    <w:rsid w:val="00E91288"/>
    <w:rsid w:val="00E97BC9"/>
    <w:rsid w:val="00EB4B5C"/>
    <w:rsid w:val="00EB5E84"/>
    <w:rsid w:val="00EB7828"/>
    <w:rsid w:val="00EC6D1D"/>
    <w:rsid w:val="00EC7CD7"/>
    <w:rsid w:val="00ED09D9"/>
    <w:rsid w:val="00ED590C"/>
    <w:rsid w:val="00EF1220"/>
    <w:rsid w:val="00EF2FF4"/>
    <w:rsid w:val="00EF4F49"/>
    <w:rsid w:val="00EF7BD7"/>
    <w:rsid w:val="00F02855"/>
    <w:rsid w:val="00F0683C"/>
    <w:rsid w:val="00F14748"/>
    <w:rsid w:val="00F16CBE"/>
    <w:rsid w:val="00F25D4D"/>
    <w:rsid w:val="00F265D0"/>
    <w:rsid w:val="00F32917"/>
    <w:rsid w:val="00F32998"/>
    <w:rsid w:val="00F40D23"/>
    <w:rsid w:val="00F467CB"/>
    <w:rsid w:val="00F568D3"/>
    <w:rsid w:val="00F67F09"/>
    <w:rsid w:val="00F75C5F"/>
    <w:rsid w:val="00F90C26"/>
    <w:rsid w:val="00F91E99"/>
    <w:rsid w:val="00F922AD"/>
    <w:rsid w:val="00F92DFA"/>
    <w:rsid w:val="00FC108E"/>
    <w:rsid w:val="00FC49EC"/>
    <w:rsid w:val="00FC6346"/>
    <w:rsid w:val="00FD2551"/>
    <w:rsid w:val="00FE0CBA"/>
    <w:rsid w:val="00FE1D1D"/>
    <w:rsid w:val="00FE3A07"/>
    <w:rsid w:val="00FE5102"/>
    <w:rsid w:val="00FE5140"/>
    <w:rsid w:val="00FE633E"/>
    <w:rsid w:val="00FF2835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210752"/>
  <w15:docId w15:val="{05D86687-2B85-49C9-A2BF-5A03D05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C7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878A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1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DE0"/>
  </w:style>
  <w:style w:type="paragraph" w:styleId="Pidipagina">
    <w:name w:val="footer"/>
    <w:basedOn w:val="Normale"/>
    <w:link w:val="PidipaginaCarattere"/>
    <w:uiPriority w:val="99"/>
    <w:unhideWhenUsed/>
    <w:rsid w:val="00C1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DE0"/>
  </w:style>
  <w:style w:type="character" w:styleId="Collegamentoipertestuale">
    <w:name w:val="Hyperlink"/>
    <w:basedOn w:val="Carpredefinitoparagrafo"/>
    <w:uiPriority w:val="99"/>
    <w:unhideWhenUsed/>
    <w:rsid w:val="004A7E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4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46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4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4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4658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537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F05E2"/>
    <w:pPr>
      <w:spacing w:after="200" w:line="276" w:lineRule="auto"/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3146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4776"/>
    <w:rPr>
      <w:b/>
      <w:bCs/>
    </w:rPr>
  </w:style>
  <w:style w:type="paragraph" w:customStyle="1" w:styleId="Default">
    <w:name w:val="Default"/>
    <w:rsid w:val="00784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3309F"/>
    <w:rPr>
      <w:i/>
      <w:iCs/>
    </w:rPr>
  </w:style>
  <w:style w:type="paragraph" w:customStyle="1" w:styleId="Generale">
    <w:name w:val="Generale"/>
    <w:basedOn w:val="Corpotesto"/>
    <w:rsid w:val="00627CA0"/>
    <w:pPr>
      <w:spacing w:after="0" w:line="240" w:lineRule="auto"/>
      <w:jc w:val="both"/>
    </w:pPr>
    <w:rPr>
      <w:rFonts w:ascii="Times New Roman" w:eastAsia="Times New Roman" w:hAnsi="Times New Roman" w:cs="Times New Roman"/>
      <w:color w:val="80808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7C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CA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EC6D1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6D1D"/>
    <w:rPr>
      <w:rFonts w:ascii="Calibri" w:hAnsi="Calibri"/>
      <w:szCs w:val="21"/>
    </w:rPr>
  </w:style>
  <w:style w:type="character" w:customStyle="1" w:styleId="xs10">
    <w:name w:val="x_s10"/>
    <w:basedOn w:val="Carpredefinitoparagrafo"/>
    <w:rsid w:val="007D1148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C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int@communitygrou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onora.riva@bancafin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a.biscaldi@bancafin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ED73-7E5D-4D28-B0D1-A8D19045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Catania</dc:creator>
  <cp:lastModifiedBy>Laura Meneghetti</cp:lastModifiedBy>
  <cp:revision>7</cp:revision>
  <cp:lastPrinted>2022-03-02T08:28:00Z</cp:lastPrinted>
  <dcterms:created xsi:type="dcterms:W3CDTF">2022-02-23T17:08:00Z</dcterms:created>
  <dcterms:modified xsi:type="dcterms:W3CDTF">2022-03-02T09:41:00Z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Internal Use Only in UniCredit Group - no visual markings</vt:lpwstr>
  </property>
  <property fmtid="{D5CDD505-2E9C-101B-9397-08002B2CF9AE}" pid="3" name="MSIP_Label_c0fbe264-2c79-4b36-b5f9-86ce3eb42ba6_Enabled">
    <vt:lpwstr>true</vt:lpwstr>
  </property>
  <property fmtid="{D5CDD505-2E9C-101B-9397-08002B2CF9AE}" pid="4" name="MSIP_Label_c0fbe264-2c79-4b36-b5f9-86ce3eb42ba6_SetDate">
    <vt:lpwstr>2020-04-14T08:49:29Z</vt:lpwstr>
  </property>
  <property fmtid="{D5CDD505-2E9C-101B-9397-08002B2CF9AE}" pid="5" name="MSIP_Label_c0fbe264-2c79-4b36-b5f9-86ce3eb42ba6_Method">
    <vt:lpwstr>Privileged</vt:lpwstr>
  </property>
  <property fmtid="{D5CDD505-2E9C-101B-9397-08002B2CF9AE}" pid="6" name="MSIP_Label_c0fbe264-2c79-4b36-b5f9-86ce3eb42ba6_Name">
    <vt:lpwstr>Public</vt:lpwstr>
  </property>
  <property fmtid="{D5CDD505-2E9C-101B-9397-08002B2CF9AE}" pid="7" name="MSIP_Label_c0fbe264-2c79-4b36-b5f9-86ce3eb42ba6_SiteId">
    <vt:lpwstr>2cc49ce9-66a1-41ac-a96b-bdc54247696a</vt:lpwstr>
  </property>
  <property fmtid="{D5CDD505-2E9C-101B-9397-08002B2CF9AE}" pid="8" name="MSIP_Label_c0fbe264-2c79-4b36-b5f9-86ce3eb42ba6_ActionId">
    <vt:lpwstr>ba518036-0849-42ce-be9f-0000e98d0e1f</vt:lpwstr>
  </property>
  <property fmtid="{D5CDD505-2E9C-101B-9397-08002B2CF9AE}" pid="9" name="MSIP_Label_c0fbe264-2c79-4b36-b5f9-86ce3eb42ba6_ContentBits">
    <vt:lpwstr>1</vt:lpwstr>
  </property>
</Properties>
</file>