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9556" w14:textId="1E8CEB24" w:rsidR="00C63036" w:rsidRPr="00782934" w:rsidRDefault="00C63036" w:rsidP="003B44F1">
      <w:pPr>
        <w:pStyle w:val="Contact"/>
        <w:rPr>
          <w:lang w:val="it-IT"/>
        </w:rPr>
      </w:pPr>
      <w:r w:rsidRPr="00782934">
        <w:rPr>
          <w:lang w:val="it-IT"/>
        </w:rPr>
        <w:t>Conta</w:t>
      </w:r>
      <w:r w:rsidR="00061712" w:rsidRPr="00782934">
        <w:rPr>
          <w:lang w:val="it-IT"/>
        </w:rPr>
        <w:t>t</w:t>
      </w:r>
      <w:r w:rsidRPr="00782934">
        <w:rPr>
          <w:lang w:val="it-IT"/>
        </w:rPr>
        <w:t>t</w:t>
      </w:r>
      <w:r w:rsidR="00061712" w:rsidRPr="00782934">
        <w:rPr>
          <w:lang w:val="it-IT"/>
        </w:rPr>
        <w:t>i</w:t>
      </w:r>
      <w:r w:rsidRPr="00782934">
        <w:rPr>
          <w:lang w:val="it-IT"/>
        </w:rPr>
        <w:t>:</w:t>
      </w:r>
    </w:p>
    <w:p w14:paraId="07A3BE77" w14:textId="56601099" w:rsidR="00C63036" w:rsidRPr="00061712" w:rsidRDefault="00061712" w:rsidP="003B44F1">
      <w:pPr>
        <w:pStyle w:val="Contact"/>
        <w:rPr>
          <w:lang w:val="it-IT"/>
        </w:rPr>
      </w:pPr>
      <w:r w:rsidRPr="00061712">
        <w:rPr>
          <w:lang w:val="it-IT"/>
        </w:rPr>
        <w:t>Francesca Cottone</w:t>
      </w:r>
    </w:p>
    <w:p w14:paraId="2FCE93E1" w14:textId="3E70369C" w:rsidR="00C63036" w:rsidRPr="00061712" w:rsidRDefault="00061712" w:rsidP="003B44F1">
      <w:pPr>
        <w:pStyle w:val="Contact"/>
        <w:rPr>
          <w:lang w:val="it-IT"/>
        </w:rPr>
      </w:pPr>
      <w:r w:rsidRPr="00061712">
        <w:rPr>
          <w:lang w:val="it-IT"/>
        </w:rPr>
        <w:t>+</w:t>
      </w:r>
      <w:r>
        <w:rPr>
          <w:lang w:val="it-IT"/>
        </w:rPr>
        <w:t>39 342 1266944</w:t>
      </w:r>
    </w:p>
    <w:p w14:paraId="230BDE81" w14:textId="701D1685" w:rsidR="00C63036" w:rsidRDefault="00036D4F" w:rsidP="00E01C37">
      <w:pPr>
        <w:pStyle w:val="Contact"/>
        <w:rPr>
          <w:lang w:val="it-IT"/>
        </w:rPr>
      </w:pPr>
      <w:hyperlink r:id="rId8" w:history="1">
        <w:r w:rsidR="00061712" w:rsidRPr="00782934">
          <w:rPr>
            <w:rStyle w:val="Collegamentoipertestuale"/>
            <w:lang w:val="it-IT"/>
          </w:rPr>
          <w:t>francesca.cottone</w:t>
        </w:r>
        <w:r w:rsidR="00061712" w:rsidRPr="008B3FEA">
          <w:rPr>
            <w:rStyle w:val="Collegamentoipertestuale"/>
            <w:lang w:val="it-IT"/>
          </w:rPr>
          <w:t>@cbre.com</w:t>
        </w:r>
      </w:hyperlink>
    </w:p>
    <w:p w14:paraId="66F29002" w14:textId="3F88A3E7" w:rsidR="00061712" w:rsidRDefault="00061712" w:rsidP="00E01C37">
      <w:pPr>
        <w:pStyle w:val="Contact"/>
        <w:rPr>
          <w:lang w:val="it-IT"/>
        </w:rPr>
      </w:pPr>
    </w:p>
    <w:p w14:paraId="70106A0B" w14:textId="7E51C9E6" w:rsidR="00061712" w:rsidRPr="00061712" w:rsidRDefault="00061712" w:rsidP="00061712">
      <w:pPr>
        <w:pStyle w:val="Contact"/>
        <w:rPr>
          <w:lang w:val="it-IT"/>
        </w:rPr>
      </w:pPr>
      <w:r>
        <w:rPr>
          <w:lang w:val="it-IT"/>
        </w:rPr>
        <w:t>Luca Damiani – Lob PR</w:t>
      </w:r>
    </w:p>
    <w:p w14:paraId="40C1188A" w14:textId="3E1C2D5C" w:rsidR="00061712" w:rsidRPr="00061712" w:rsidRDefault="00061712" w:rsidP="00061712">
      <w:pPr>
        <w:pStyle w:val="Contact"/>
        <w:rPr>
          <w:lang w:val="it-IT"/>
        </w:rPr>
      </w:pPr>
      <w:r w:rsidRPr="00061712">
        <w:rPr>
          <w:lang w:val="it-IT"/>
        </w:rPr>
        <w:t>+</w:t>
      </w:r>
      <w:r>
        <w:rPr>
          <w:lang w:val="it-IT"/>
        </w:rPr>
        <w:t>39 338 6904566</w:t>
      </w:r>
    </w:p>
    <w:p w14:paraId="4AD73961" w14:textId="754E3D86" w:rsidR="00061712" w:rsidRDefault="00036D4F" w:rsidP="00061712">
      <w:pPr>
        <w:pStyle w:val="Contact"/>
        <w:rPr>
          <w:lang w:val="it-IT"/>
        </w:rPr>
      </w:pPr>
      <w:hyperlink r:id="rId9" w:history="1">
        <w:r w:rsidR="00061712" w:rsidRPr="008B3FEA">
          <w:rPr>
            <w:rStyle w:val="Collegamentoipertestuale"/>
            <w:lang w:val="it-IT"/>
          </w:rPr>
          <w:t>ldamiani@lobcom.it</w:t>
        </w:r>
      </w:hyperlink>
    </w:p>
    <w:p w14:paraId="63436B07" w14:textId="559B448D" w:rsidR="00061712" w:rsidRDefault="00061712" w:rsidP="00061712">
      <w:pPr>
        <w:pStyle w:val="Contact"/>
        <w:rPr>
          <w:lang w:val="it-IT"/>
        </w:rPr>
      </w:pPr>
    </w:p>
    <w:p w14:paraId="40A1AD44" w14:textId="0CFE450C" w:rsidR="00061712" w:rsidRDefault="00061712" w:rsidP="00061712">
      <w:pPr>
        <w:pStyle w:val="Contact"/>
        <w:rPr>
          <w:lang w:val="it-IT"/>
        </w:rPr>
      </w:pPr>
      <w:r>
        <w:rPr>
          <w:lang w:val="it-IT"/>
        </w:rPr>
        <w:t>Francesca Parodi – Lob PR</w:t>
      </w:r>
    </w:p>
    <w:p w14:paraId="11AB93AF" w14:textId="00B34A4A" w:rsidR="00061712" w:rsidRDefault="00061712" w:rsidP="00061712">
      <w:pPr>
        <w:pStyle w:val="Contact"/>
        <w:rPr>
          <w:lang w:val="it-IT"/>
        </w:rPr>
      </w:pPr>
      <w:r>
        <w:rPr>
          <w:lang w:val="it-IT"/>
        </w:rPr>
        <w:t>+39 351 9981386</w:t>
      </w:r>
    </w:p>
    <w:p w14:paraId="7935AED4" w14:textId="7D8A90F1" w:rsidR="00061712" w:rsidRDefault="00036D4F" w:rsidP="00061712">
      <w:pPr>
        <w:pStyle w:val="Contact"/>
        <w:rPr>
          <w:lang w:val="it-IT"/>
        </w:rPr>
      </w:pPr>
      <w:hyperlink r:id="rId10" w:history="1">
        <w:r w:rsidR="00061712" w:rsidRPr="008B3FEA">
          <w:rPr>
            <w:rStyle w:val="Collegamentoipertestuale"/>
            <w:lang w:val="it-IT"/>
          </w:rPr>
          <w:t>fparodi@lobcom.it</w:t>
        </w:r>
      </w:hyperlink>
    </w:p>
    <w:p w14:paraId="7804BB1E" w14:textId="77777777" w:rsidR="00061712" w:rsidRPr="00061712" w:rsidRDefault="00061712" w:rsidP="00E01C37">
      <w:pPr>
        <w:pStyle w:val="Contact"/>
        <w:rPr>
          <w:lang w:val="it-IT"/>
        </w:rPr>
      </w:pPr>
    </w:p>
    <w:p w14:paraId="1963C472" w14:textId="77777777" w:rsidR="00C63036" w:rsidRPr="00061712" w:rsidRDefault="00C63036" w:rsidP="00E02087">
      <w:pPr>
        <w:pStyle w:val="BodyCopy"/>
        <w:rPr>
          <w:lang w:val="it-IT"/>
        </w:rPr>
      </w:pPr>
    </w:p>
    <w:p w14:paraId="5FA3BABB" w14:textId="11615318" w:rsidR="00411219" w:rsidRDefault="00DC4DDB" w:rsidP="00411219">
      <w:pPr>
        <w:pStyle w:val="Headline"/>
        <w:rPr>
          <w:lang w:val="it-IT"/>
        </w:rPr>
      </w:pPr>
      <w:r>
        <w:rPr>
          <w:lang w:val="it-IT"/>
        </w:rPr>
        <w:t>CBRE</w:t>
      </w:r>
      <w:r w:rsidR="005D3C85">
        <w:rPr>
          <w:lang w:val="it-IT"/>
        </w:rPr>
        <w:t>:</w:t>
      </w:r>
      <w:r w:rsidR="002E15C4">
        <w:rPr>
          <w:lang w:val="it-IT"/>
        </w:rPr>
        <w:t xml:space="preserve"> </w:t>
      </w:r>
      <w:r w:rsidR="006A0DA9">
        <w:rPr>
          <w:lang w:val="it-IT"/>
        </w:rPr>
        <w:t>ripresa confermata per gli investimenti in Commercial Real Estate in Italia nel primo trimestre del 2022</w:t>
      </w:r>
    </w:p>
    <w:p w14:paraId="5DBD7F1B" w14:textId="77777777" w:rsidR="00A14CAB" w:rsidRPr="00061712" w:rsidRDefault="00A14CAB" w:rsidP="00411219">
      <w:pPr>
        <w:pStyle w:val="Headline"/>
        <w:rPr>
          <w:lang w:val="it-IT"/>
        </w:rPr>
      </w:pPr>
    </w:p>
    <w:p w14:paraId="35DBAFEE" w14:textId="77777777" w:rsidR="00601627" w:rsidRPr="00061712" w:rsidRDefault="00601627" w:rsidP="007E236C">
      <w:pPr>
        <w:pStyle w:val="Headline"/>
        <w:rPr>
          <w:lang w:val="it-IT"/>
        </w:rPr>
      </w:pPr>
    </w:p>
    <w:p w14:paraId="0E337076" w14:textId="78AEDAB5" w:rsidR="00ED0154" w:rsidRPr="00E960AD" w:rsidRDefault="005D7B51" w:rsidP="00814648">
      <w:pPr>
        <w:pStyle w:val="BodyCopy"/>
        <w:numPr>
          <w:ilvl w:val="0"/>
          <w:numId w:val="1"/>
        </w:numPr>
        <w:rPr>
          <w:lang w:val="it-IT"/>
        </w:rPr>
      </w:pPr>
      <w:r>
        <w:rPr>
          <w:lang w:val="it-IT"/>
        </w:rPr>
        <w:t xml:space="preserve">Gli </w:t>
      </w:r>
      <w:r w:rsidRPr="00E960AD">
        <w:rPr>
          <w:lang w:val="it-IT"/>
        </w:rPr>
        <w:t xml:space="preserve">investimenti nei primi tre mesi dell’anno raggiungono il totale di </w:t>
      </w:r>
      <w:r w:rsidR="00B37308" w:rsidRPr="00E960AD">
        <w:rPr>
          <w:lang w:val="it-IT"/>
        </w:rPr>
        <w:t xml:space="preserve">€ </w:t>
      </w:r>
      <w:r w:rsidRPr="00E960AD">
        <w:rPr>
          <w:lang w:val="it-IT"/>
        </w:rPr>
        <w:t>3,</w:t>
      </w:r>
      <w:r w:rsidR="00F83651" w:rsidRPr="00E960AD">
        <w:rPr>
          <w:lang w:val="it-IT"/>
        </w:rPr>
        <w:t>2</w:t>
      </w:r>
      <w:r w:rsidRPr="00E960AD">
        <w:rPr>
          <w:lang w:val="it-IT"/>
        </w:rPr>
        <w:t xml:space="preserve"> </w:t>
      </w:r>
      <w:r w:rsidR="00BD2497" w:rsidRPr="00E960AD">
        <w:rPr>
          <w:lang w:val="it-IT"/>
        </w:rPr>
        <w:t>miliardi</w:t>
      </w:r>
      <w:r w:rsidR="00B37308" w:rsidRPr="00E960AD">
        <w:rPr>
          <w:lang w:val="it-IT"/>
        </w:rPr>
        <w:t xml:space="preserve">: è il </w:t>
      </w:r>
      <w:r w:rsidR="00A83623" w:rsidRPr="00E960AD">
        <w:rPr>
          <w:lang w:val="it-IT"/>
        </w:rPr>
        <w:t xml:space="preserve">primo </w:t>
      </w:r>
      <w:r w:rsidR="00B37308" w:rsidRPr="00E960AD">
        <w:rPr>
          <w:lang w:val="it-IT"/>
        </w:rPr>
        <w:t>trimestre migliore di sempre</w:t>
      </w:r>
    </w:p>
    <w:p w14:paraId="3221512A" w14:textId="4C93396A" w:rsidR="00C750D7" w:rsidRPr="00E960AD" w:rsidRDefault="00B37308" w:rsidP="00814648">
      <w:pPr>
        <w:pStyle w:val="BodyCopy"/>
        <w:numPr>
          <w:ilvl w:val="0"/>
          <w:numId w:val="1"/>
        </w:numPr>
        <w:rPr>
          <w:lang w:val="it-IT"/>
        </w:rPr>
      </w:pPr>
      <w:r w:rsidRPr="00E960AD">
        <w:rPr>
          <w:lang w:val="it-IT"/>
        </w:rPr>
        <w:t xml:space="preserve">Forte ripresa per il settore Uffici, che </w:t>
      </w:r>
      <w:r w:rsidR="007C1098" w:rsidRPr="00E960AD">
        <w:rPr>
          <w:lang w:val="it-IT"/>
        </w:rPr>
        <w:t xml:space="preserve">fa registrare un interesse notevole per prodotto </w:t>
      </w:r>
      <w:r w:rsidR="007C1098" w:rsidRPr="00E960AD">
        <w:rPr>
          <w:i/>
          <w:iCs/>
          <w:lang w:val="it-IT"/>
        </w:rPr>
        <w:t>value add</w:t>
      </w:r>
      <w:r w:rsidR="007C1098" w:rsidRPr="00E960AD">
        <w:rPr>
          <w:lang w:val="it-IT"/>
        </w:rPr>
        <w:t>, sotto la spinta dell’ESG</w:t>
      </w:r>
    </w:p>
    <w:p w14:paraId="470E668F" w14:textId="49C22246" w:rsidR="00503314" w:rsidRPr="00E960AD" w:rsidRDefault="009F72E3" w:rsidP="00814648">
      <w:pPr>
        <w:pStyle w:val="BodyCopy"/>
        <w:numPr>
          <w:ilvl w:val="0"/>
          <w:numId w:val="1"/>
        </w:numPr>
        <w:rPr>
          <w:lang w:val="it-IT"/>
        </w:rPr>
      </w:pPr>
      <w:r w:rsidRPr="00E960AD">
        <w:rPr>
          <w:lang w:val="it-IT"/>
        </w:rPr>
        <w:t>Tornano a incidere significativamente sul totale gli investitori stranieri, con l’arrivo di nuovi player nel nostro mercato</w:t>
      </w:r>
    </w:p>
    <w:p w14:paraId="37A9ADBF" w14:textId="77777777" w:rsidR="00A14CAB" w:rsidRPr="00E960AD" w:rsidRDefault="00A14CAB" w:rsidP="00A14CAB">
      <w:pPr>
        <w:pStyle w:val="BodyCopy"/>
        <w:ind w:left="720"/>
        <w:rPr>
          <w:lang w:val="it-IT"/>
        </w:rPr>
      </w:pPr>
    </w:p>
    <w:p w14:paraId="3D596928" w14:textId="0A4541E6" w:rsidR="00FF0BB7" w:rsidRPr="00E960AD" w:rsidRDefault="00FF0BB7" w:rsidP="007C1098">
      <w:pPr>
        <w:pStyle w:val="BodyCopy"/>
        <w:ind w:left="720"/>
        <w:rPr>
          <w:lang w:val="it-IT"/>
        </w:rPr>
      </w:pPr>
    </w:p>
    <w:p w14:paraId="5554F10C" w14:textId="544CB9B7" w:rsidR="004A396E" w:rsidRPr="00E960AD" w:rsidRDefault="00061712" w:rsidP="00D95C79">
      <w:pPr>
        <w:pStyle w:val="BodyCopy"/>
        <w:jc w:val="both"/>
        <w:rPr>
          <w:lang w:val="it-IT"/>
        </w:rPr>
      </w:pPr>
      <w:r w:rsidRPr="00E960AD">
        <w:rPr>
          <w:b/>
          <w:bCs/>
          <w:lang w:val="it-IT"/>
        </w:rPr>
        <w:t xml:space="preserve">Milano </w:t>
      </w:r>
      <w:r w:rsidR="00C63036" w:rsidRPr="00E960AD">
        <w:rPr>
          <w:b/>
          <w:bCs/>
          <w:lang w:val="it-IT"/>
        </w:rPr>
        <w:t>–</w:t>
      </w:r>
      <w:r w:rsidR="00E30CD4" w:rsidRPr="00E960AD">
        <w:rPr>
          <w:b/>
          <w:bCs/>
          <w:lang w:val="it-IT"/>
        </w:rPr>
        <w:t xml:space="preserve"> </w:t>
      </w:r>
      <w:r w:rsidR="00972D31" w:rsidRPr="00E960AD">
        <w:rPr>
          <w:b/>
          <w:bCs/>
          <w:lang w:val="it-IT"/>
        </w:rPr>
        <w:t>7 aprile</w:t>
      </w:r>
      <w:r w:rsidRPr="00E960AD">
        <w:rPr>
          <w:b/>
          <w:bCs/>
          <w:lang w:val="it-IT"/>
        </w:rPr>
        <w:t xml:space="preserve"> </w:t>
      </w:r>
      <w:r w:rsidR="00E53CA1" w:rsidRPr="00E960AD">
        <w:rPr>
          <w:b/>
          <w:bCs/>
          <w:lang w:val="it-IT"/>
        </w:rPr>
        <w:t>202</w:t>
      </w:r>
      <w:r w:rsidR="00411219" w:rsidRPr="00E960AD">
        <w:rPr>
          <w:b/>
          <w:bCs/>
          <w:lang w:val="it-IT"/>
        </w:rPr>
        <w:t>2</w:t>
      </w:r>
      <w:r w:rsidR="00E30CD4" w:rsidRPr="00E960AD">
        <w:rPr>
          <w:b/>
          <w:bCs/>
          <w:lang w:val="it-IT"/>
        </w:rPr>
        <w:t xml:space="preserve"> </w:t>
      </w:r>
      <w:r w:rsidR="00C63036" w:rsidRPr="00E960AD">
        <w:rPr>
          <w:lang w:val="it-IT"/>
        </w:rPr>
        <w:t>–</w:t>
      </w:r>
      <w:r w:rsidR="00E30CD4" w:rsidRPr="00E960AD">
        <w:rPr>
          <w:lang w:val="it-IT"/>
        </w:rPr>
        <w:t xml:space="preserve"> </w:t>
      </w:r>
      <w:r w:rsidR="00C522F7" w:rsidRPr="00E960AD">
        <w:rPr>
          <w:lang w:val="it-IT"/>
        </w:rPr>
        <w:t xml:space="preserve">Il volume degli investimenti nel </w:t>
      </w:r>
      <w:r w:rsidR="00972D31" w:rsidRPr="00E960AD">
        <w:rPr>
          <w:lang w:val="it-IT"/>
        </w:rPr>
        <w:t>C</w:t>
      </w:r>
      <w:r w:rsidR="00C522F7" w:rsidRPr="00E960AD">
        <w:rPr>
          <w:lang w:val="it-IT"/>
        </w:rPr>
        <w:t xml:space="preserve">ommercial </w:t>
      </w:r>
      <w:r w:rsidR="00972D31" w:rsidRPr="00E960AD">
        <w:rPr>
          <w:lang w:val="it-IT"/>
        </w:rPr>
        <w:t>R</w:t>
      </w:r>
      <w:r w:rsidR="00C522F7" w:rsidRPr="00E960AD">
        <w:rPr>
          <w:lang w:val="it-IT"/>
        </w:rPr>
        <w:t xml:space="preserve">eal </w:t>
      </w:r>
      <w:r w:rsidR="00972D31" w:rsidRPr="00E960AD">
        <w:rPr>
          <w:lang w:val="it-IT"/>
        </w:rPr>
        <w:t>E</w:t>
      </w:r>
      <w:r w:rsidR="00C522F7" w:rsidRPr="00E960AD">
        <w:rPr>
          <w:lang w:val="it-IT"/>
        </w:rPr>
        <w:t>state in Italia</w:t>
      </w:r>
      <w:r w:rsidR="00972D31" w:rsidRPr="00E960AD">
        <w:rPr>
          <w:lang w:val="it-IT"/>
        </w:rPr>
        <w:t>, nei primi tre mesi del 2022, è pari</w:t>
      </w:r>
      <w:r w:rsidR="00D84E93" w:rsidRPr="00E960AD">
        <w:rPr>
          <w:lang w:val="it-IT"/>
        </w:rPr>
        <w:t xml:space="preserve"> a</w:t>
      </w:r>
      <w:r w:rsidR="00972D31" w:rsidRPr="00E960AD">
        <w:rPr>
          <w:lang w:val="it-IT"/>
        </w:rPr>
        <w:t xml:space="preserve"> </w:t>
      </w:r>
      <w:r w:rsidR="008F3439" w:rsidRPr="00E960AD">
        <w:rPr>
          <w:lang w:val="it-IT"/>
        </w:rPr>
        <w:t>3,</w:t>
      </w:r>
      <w:r w:rsidR="00D84E93" w:rsidRPr="00E960AD">
        <w:rPr>
          <w:lang w:val="it-IT"/>
        </w:rPr>
        <w:t>2</w:t>
      </w:r>
      <w:r w:rsidR="00165D9B" w:rsidRPr="00E960AD">
        <w:rPr>
          <w:lang w:val="it-IT"/>
        </w:rPr>
        <w:t xml:space="preserve"> </w:t>
      </w:r>
      <w:r w:rsidR="00C522F7" w:rsidRPr="00E960AD">
        <w:rPr>
          <w:lang w:val="it-IT"/>
        </w:rPr>
        <w:t xml:space="preserve">miliardi di euro, </w:t>
      </w:r>
      <w:r w:rsidR="00ED5807" w:rsidRPr="00E960AD">
        <w:rPr>
          <w:lang w:val="it-IT"/>
        </w:rPr>
        <w:t>più del doppio rispetto a quanto registrato alla fine del primo trimestre del 2021 (</w:t>
      </w:r>
      <w:r w:rsidR="004A396E" w:rsidRPr="00E960AD">
        <w:rPr>
          <w:lang w:val="it-IT"/>
        </w:rPr>
        <w:t>1,5 miliardi di euro)</w:t>
      </w:r>
      <w:r w:rsidR="004904E6" w:rsidRPr="00E960AD">
        <w:rPr>
          <w:lang w:val="it-IT"/>
        </w:rPr>
        <w:t xml:space="preserve">. </w:t>
      </w:r>
      <w:r w:rsidR="005D7B51" w:rsidRPr="00E960AD">
        <w:rPr>
          <w:lang w:val="it-IT"/>
        </w:rPr>
        <w:t xml:space="preserve">Su base storica, è il </w:t>
      </w:r>
      <w:r w:rsidR="000D3A2D" w:rsidRPr="00E960AD">
        <w:rPr>
          <w:lang w:val="it-IT"/>
        </w:rPr>
        <w:t xml:space="preserve">primo </w:t>
      </w:r>
      <w:r w:rsidR="005D7B51" w:rsidRPr="00E960AD">
        <w:rPr>
          <w:lang w:val="it-IT"/>
        </w:rPr>
        <w:t>trimestre migliore di sempre.</w:t>
      </w:r>
    </w:p>
    <w:p w14:paraId="09BA707D" w14:textId="77777777" w:rsidR="00B32542" w:rsidRPr="00E960AD" w:rsidRDefault="00B32542" w:rsidP="00D95C79">
      <w:pPr>
        <w:pStyle w:val="BodyCopy"/>
        <w:jc w:val="both"/>
        <w:rPr>
          <w:lang w:val="it-IT"/>
        </w:rPr>
      </w:pPr>
    </w:p>
    <w:p w14:paraId="44A66288" w14:textId="1F92F43C" w:rsidR="00B32542" w:rsidRPr="00E960AD" w:rsidRDefault="00307C5A" w:rsidP="00D95C79">
      <w:pPr>
        <w:pStyle w:val="BodyCopy"/>
        <w:jc w:val="both"/>
        <w:rPr>
          <w:lang w:val="it-IT"/>
        </w:rPr>
      </w:pPr>
      <w:r w:rsidRPr="00E960AD">
        <w:rPr>
          <w:lang w:val="it-IT"/>
        </w:rPr>
        <w:t>Il recupero ha interessato tutte le asset class</w:t>
      </w:r>
      <w:r w:rsidR="000E1740" w:rsidRPr="00E960AD">
        <w:rPr>
          <w:lang w:val="it-IT"/>
        </w:rPr>
        <w:t>,</w:t>
      </w:r>
      <w:r w:rsidR="00403FAC" w:rsidRPr="00E960AD">
        <w:rPr>
          <w:lang w:val="it-IT"/>
        </w:rPr>
        <w:t xml:space="preserve"> grazie anche a</w:t>
      </w:r>
      <w:r w:rsidR="007D185A" w:rsidRPr="00E960AD">
        <w:rPr>
          <w:lang w:val="it-IT"/>
        </w:rPr>
        <w:t>lla progressiva uscita dall’emergenza sanitaria e la conseguente diminuzione</w:t>
      </w:r>
      <w:r w:rsidR="00595394" w:rsidRPr="00E960AD">
        <w:rPr>
          <w:lang w:val="it-IT"/>
        </w:rPr>
        <w:t xml:space="preserve"> delle incertezze che hanno caratterizzato il biennio appena trascorso. </w:t>
      </w:r>
      <w:r w:rsidR="00C50466" w:rsidRPr="00E960AD">
        <w:rPr>
          <w:lang w:val="it-IT"/>
        </w:rPr>
        <w:t xml:space="preserve">Il trimestre ha visto </w:t>
      </w:r>
      <w:r w:rsidR="00AD7BDD" w:rsidRPr="00E960AD">
        <w:rPr>
          <w:lang w:val="it-IT"/>
        </w:rPr>
        <w:t xml:space="preserve">gli investitori stranieri giocare un ruolo significativo, </w:t>
      </w:r>
      <w:r w:rsidR="002C4D8B" w:rsidRPr="00E960AD">
        <w:rPr>
          <w:lang w:val="it-IT"/>
        </w:rPr>
        <w:t>con un’incidenza sul totale investito pari all’8</w:t>
      </w:r>
      <w:r w:rsidR="00E960AD" w:rsidRPr="00E960AD">
        <w:rPr>
          <w:lang w:val="it-IT"/>
        </w:rPr>
        <w:t>2</w:t>
      </w:r>
      <w:r w:rsidR="002C4D8B" w:rsidRPr="00E960AD">
        <w:rPr>
          <w:lang w:val="it-IT"/>
        </w:rPr>
        <w:t>%</w:t>
      </w:r>
      <w:r w:rsidR="00503314" w:rsidRPr="00E960AD">
        <w:rPr>
          <w:lang w:val="it-IT"/>
        </w:rPr>
        <w:t xml:space="preserve"> e l’arrivo di nuovi player sul mercato</w:t>
      </w:r>
      <w:r w:rsidR="002C4D8B" w:rsidRPr="00E960AD">
        <w:rPr>
          <w:lang w:val="it-IT"/>
        </w:rPr>
        <w:t>; si riduce</w:t>
      </w:r>
      <w:r w:rsidR="00090654" w:rsidRPr="00E960AD">
        <w:rPr>
          <w:lang w:val="it-IT"/>
        </w:rPr>
        <w:t xml:space="preserve"> </w:t>
      </w:r>
      <w:r w:rsidR="007E1B04" w:rsidRPr="00E960AD">
        <w:rPr>
          <w:lang w:val="it-IT"/>
        </w:rPr>
        <w:t xml:space="preserve">per il periodo preso in esame </w:t>
      </w:r>
      <w:r w:rsidR="00090654" w:rsidRPr="00E960AD">
        <w:rPr>
          <w:lang w:val="it-IT"/>
        </w:rPr>
        <w:t>la partecipazione degli investitori domestici</w:t>
      </w:r>
      <w:r w:rsidR="007E1B04" w:rsidRPr="00E960AD">
        <w:rPr>
          <w:lang w:val="it-IT"/>
        </w:rPr>
        <w:t xml:space="preserve"> (18%), che rimane però stabile in va</w:t>
      </w:r>
      <w:r w:rsidR="00CB0DAC" w:rsidRPr="00E960AD">
        <w:rPr>
          <w:lang w:val="it-IT"/>
        </w:rPr>
        <w:t>lori assoluti rispetto alla media degli ultimi 5 anni.</w:t>
      </w:r>
      <w:r w:rsidR="00731D02" w:rsidRPr="00E960AD">
        <w:rPr>
          <w:lang w:val="it-IT"/>
        </w:rPr>
        <w:t xml:space="preserve"> </w:t>
      </w:r>
    </w:p>
    <w:p w14:paraId="40F017A9" w14:textId="77777777" w:rsidR="00B32542" w:rsidRPr="00E960AD" w:rsidRDefault="00B32542" w:rsidP="00D95C79">
      <w:pPr>
        <w:pStyle w:val="BodyCopy"/>
        <w:jc w:val="both"/>
        <w:rPr>
          <w:lang w:val="it-IT"/>
        </w:rPr>
      </w:pPr>
    </w:p>
    <w:p w14:paraId="4496373B" w14:textId="39155BA8" w:rsidR="00C5724D" w:rsidRPr="00E960AD" w:rsidRDefault="00731D02" w:rsidP="00D95C79">
      <w:pPr>
        <w:pStyle w:val="BodyCopy"/>
        <w:jc w:val="both"/>
        <w:rPr>
          <w:lang w:val="it-IT"/>
        </w:rPr>
      </w:pPr>
      <w:r w:rsidRPr="00E960AD">
        <w:rPr>
          <w:lang w:val="it-IT"/>
        </w:rPr>
        <w:t xml:space="preserve">In termini di </w:t>
      </w:r>
      <w:r w:rsidRPr="00E960AD">
        <w:rPr>
          <w:i/>
          <w:iCs/>
          <w:lang w:val="it-IT"/>
        </w:rPr>
        <w:t>risk profile</w:t>
      </w:r>
      <w:r w:rsidRPr="00E960AD">
        <w:rPr>
          <w:lang w:val="it-IT"/>
        </w:rPr>
        <w:t xml:space="preserve">, si registra un considerevole aumento delle operazioni legate a prodotti </w:t>
      </w:r>
      <w:r w:rsidRPr="00E960AD">
        <w:rPr>
          <w:i/>
          <w:iCs/>
          <w:lang w:val="it-IT"/>
        </w:rPr>
        <w:t>value add</w:t>
      </w:r>
      <w:r w:rsidR="00A403B1" w:rsidRPr="00E960AD">
        <w:rPr>
          <w:lang w:val="it-IT"/>
        </w:rPr>
        <w:t xml:space="preserve">, di certo favoriti anche dalla grande attenzione </w:t>
      </w:r>
      <w:r w:rsidR="00E6696F" w:rsidRPr="00E960AD">
        <w:rPr>
          <w:lang w:val="it-IT"/>
        </w:rPr>
        <w:t>nei confronti dell’ESG</w:t>
      </w:r>
      <w:r w:rsidR="00B32542" w:rsidRPr="00E960AD">
        <w:rPr>
          <w:lang w:val="it-IT"/>
        </w:rPr>
        <w:t>.</w:t>
      </w:r>
      <w:r w:rsidR="00E6696F" w:rsidRPr="00E960AD">
        <w:rPr>
          <w:lang w:val="it-IT"/>
        </w:rPr>
        <w:t xml:space="preserve"> </w:t>
      </w:r>
      <w:r w:rsidR="00B32542" w:rsidRPr="00E960AD">
        <w:rPr>
          <w:lang w:val="it-IT"/>
        </w:rPr>
        <w:t>L</w:t>
      </w:r>
      <w:r w:rsidR="00AC0276" w:rsidRPr="00E960AD">
        <w:rPr>
          <w:lang w:val="it-IT"/>
        </w:rPr>
        <w:t xml:space="preserve">a ricerca di immobili di qualità e con standard di sostenibilità è infatti </w:t>
      </w:r>
      <w:r w:rsidR="006A07D0" w:rsidRPr="00E960AD">
        <w:rPr>
          <w:lang w:val="it-IT"/>
        </w:rPr>
        <w:t xml:space="preserve">oggi vista come un’opportunità </w:t>
      </w:r>
      <w:r w:rsidR="0023018D" w:rsidRPr="00E960AD">
        <w:rPr>
          <w:lang w:val="it-IT"/>
        </w:rPr>
        <w:t>da</w:t>
      </w:r>
      <w:r w:rsidR="00D71848" w:rsidRPr="00E960AD">
        <w:rPr>
          <w:lang w:val="it-IT"/>
        </w:rPr>
        <w:t xml:space="preserve">gli investitori: investire in </w:t>
      </w:r>
      <w:r w:rsidR="00480BB9" w:rsidRPr="00E960AD">
        <w:rPr>
          <w:lang w:val="it-IT"/>
        </w:rPr>
        <w:t xml:space="preserve">immobili </w:t>
      </w:r>
      <w:r w:rsidR="00480BB9" w:rsidRPr="00E960AD">
        <w:rPr>
          <w:i/>
          <w:iCs/>
          <w:lang w:val="it-IT"/>
        </w:rPr>
        <w:t>value add</w:t>
      </w:r>
      <w:r w:rsidR="00480BB9" w:rsidRPr="00E960AD">
        <w:rPr>
          <w:lang w:val="it-IT"/>
        </w:rPr>
        <w:t xml:space="preserve"> con grande potenzialità in termini di sostenibilità e qualità, infatti, </w:t>
      </w:r>
      <w:r w:rsidR="009F1EE3" w:rsidRPr="00E960AD">
        <w:rPr>
          <w:lang w:val="it-IT"/>
        </w:rPr>
        <w:t xml:space="preserve">rappresenta un’occasione di medio termine non indifferente, considerata la sempre maggiore importanza </w:t>
      </w:r>
      <w:r w:rsidR="0071073E" w:rsidRPr="00E960AD">
        <w:rPr>
          <w:lang w:val="it-IT"/>
        </w:rPr>
        <w:t xml:space="preserve">riservata ai criteri ESG in fase di selezione di asset </w:t>
      </w:r>
      <w:r w:rsidR="00C548FB" w:rsidRPr="00E960AD">
        <w:rPr>
          <w:lang w:val="it-IT"/>
        </w:rPr>
        <w:t>da acquisire</w:t>
      </w:r>
      <w:r w:rsidR="0071073E" w:rsidRPr="00E960AD">
        <w:rPr>
          <w:lang w:val="it-IT"/>
        </w:rPr>
        <w:t xml:space="preserve"> o, </w:t>
      </w:r>
      <w:r w:rsidR="00C548FB" w:rsidRPr="00E960AD">
        <w:rPr>
          <w:lang w:val="it-IT"/>
        </w:rPr>
        <w:t>in relazione al mercato leasing</w:t>
      </w:r>
      <w:r w:rsidR="002839E8" w:rsidRPr="00E960AD">
        <w:rPr>
          <w:lang w:val="it-IT"/>
        </w:rPr>
        <w:t xml:space="preserve">, </w:t>
      </w:r>
      <w:r w:rsidR="00C548FB" w:rsidRPr="00E960AD">
        <w:rPr>
          <w:lang w:val="it-IT"/>
        </w:rPr>
        <w:t>da occupare.</w:t>
      </w:r>
    </w:p>
    <w:p w14:paraId="7212FEE3" w14:textId="77777777" w:rsidR="00C5724D" w:rsidRPr="00E960AD" w:rsidRDefault="00C5724D" w:rsidP="00D95C79">
      <w:pPr>
        <w:pStyle w:val="BodyCopy"/>
        <w:jc w:val="both"/>
        <w:rPr>
          <w:lang w:val="it-IT"/>
        </w:rPr>
      </w:pPr>
    </w:p>
    <w:p w14:paraId="47DE800D" w14:textId="32D7261F" w:rsidR="006544E9" w:rsidRPr="00E960AD" w:rsidRDefault="007B6AEE" w:rsidP="008D2B8E">
      <w:pPr>
        <w:pStyle w:val="BodyCopy"/>
        <w:jc w:val="both"/>
        <w:rPr>
          <w:lang w:val="it-IT"/>
        </w:rPr>
      </w:pPr>
      <w:r w:rsidRPr="00E960AD">
        <w:rPr>
          <w:lang w:val="it-IT"/>
        </w:rPr>
        <w:t xml:space="preserve">Chiusura positiva e in fortissima ripresa per l’asset class </w:t>
      </w:r>
      <w:r w:rsidRPr="00E960AD">
        <w:rPr>
          <w:b/>
          <w:bCs/>
          <w:lang w:val="it-IT"/>
        </w:rPr>
        <w:t>Uffici</w:t>
      </w:r>
      <w:r w:rsidRPr="00E960AD">
        <w:rPr>
          <w:lang w:val="it-IT"/>
        </w:rPr>
        <w:t xml:space="preserve">, che </w:t>
      </w:r>
      <w:r w:rsidR="0066626C" w:rsidRPr="00E960AD">
        <w:rPr>
          <w:lang w:val="it-IT"/>
        </w:rPr>
        <w:t>sfiora</w:t>
      </w:r>
      <w:r w:rsidRPr="00E960AD">
        <w:rPr>
          <w:lang w:val="it-IT"/>
        </w:rPr>
        <w:t xml:space="preserve"> quota </w:t>
      </w:r>
      <w:r w:rsidR="00F128DE" w:rsidRPr="00E960AD">
        <w:rPr>
          <w:lang w:val="it-IT"/>
        </w:rPr>
        <w:t>1,</w:t>
      </w:r>
      <w:r w:rsidR="008553BF" w:rsidRPr="00E960AD">
        <w:rPr>
          <w:lang w:val="it-IT"/>
        </w:rPr>
        <w:t>4</w:t>
      </w:r>
      <w:r w:rsidR="00F128DE" w:rsidRPr="00E960AD">
        <w:rPr>
          <w:lang w:val="it-IT"/>
        </w:rPr>
        <w:t xml:space="preserve"> miliardi di euro</w:t>
      </w:r>
      <w:r w:rsidR="00F128DE">
        <w:rPr>
          <w:lang w:val="it-IT"/>
        </w:rPr>
        <w:t xml:space="preserve"> di investimenti</w:t>
      </w:r>
      <w:r w:rsidR="0066626C">
        <w:rPr>
          <w:lang w:val="it-IT"/>
        </w:rPr>
        <w:t xml:space="preserve"> grazie alla chiusura di operazioni avviate durante l’anno precedente o di nuove transazioni lampo</w:t>
      </w:r>
      <w:r w:rsidR="000235D1">
        <w:rPr>
          <w:lang w:val="it-IT"/>
        </w:rPr>
        <w:t xml:space="preserve">, effettuate </w:t>
      </w:r>
      <w:r w:rsidR="001F30CF">
        <w:rPr>
          <w:lang w:val="it-IT"/>
        </w:rPr>
        <w:t xml:space="preserve">principalmente </w:t>
      </w:r>
      <w:r w:rsidR="000235D1" w:rsidRPr="004E0CE9">
        <w:rPr>
          <w:i/>
          <w:iCs/>
          <w:lang w:val="it-IT"/>
        </w:rPr>
        <w:t>off-market</w:t>
      </w:r>
      <w:r w:rsidR="0066626C">
        <w:rPr>
          <w:lang w:val="it-IT"/>
        </w:rPr>
        <w:t xml:space="preserve">. </w:t>
      </w:r>
      <w:r w:rsidR="005143C7">
        <w:rPr>
          <w:lang w:val="it-IT"/>
        </w:rPr>
        <w:t xml:space="preserve">Il settore </w:t>
      </w:r>
      <w:r w:rsidR="00E96AB8">
        <w:rPr>
          <w:lang w:val="it-IT"/>
        </w:rPr>
        <w:t>sta vivendo</w:t>
      </w:r>
      <w:r w:rsidR="005143C7">
        <w:rPr>
          <w:lang w:val="it-IT"/>
        </w:rPr>
        <w:t xml:space="preserve"> un cambio di tendenza dopo le incertezze e le preoccupazioni legate alla pandemia e a</w:t>
      </w:r>
      <w:r w:rsidR="007762DA">
        <w:rPr>
          <w:lang w:val="it-IT"/>
        </w:rPr>
        <w:t xml:space="preserve">lla diffusione dello </w:t>
      </w:r>
      <w:r w:rsidR="007762DA" w:rsidRPr="004E0CE9">
        <w:rPr>
          <w:i/>
          <w:iCs/>
          <w:lang w:val="it-IT"/>
        </w:rPr>
        <w:t>smart working</w:t>
      </w:r>
      <w:r w:rsidR="007762DA">
        <w:rPr>
          <w:lang w:val="it-IT"/>
        </w:rPr>
        <w:t>, attira</w:t>
      </w:r>
      <w:r w:rsidR="00E96AB8">
        <w:rPr>
          <w:lang w:val="it-IT"/>
        </w:rPr>
        <w:t>ndo</w:t>
      </w:r>
      <w:r w:rsidR="007762DA">
        <w:rPr>
          <w:lang w:val="it-IT"/>
        </w:rPr>
        <w:t xml:space="preserve"> in Italia </w:t>
      </w:r>
      <w:r w:rsidR="007762DA" w:rsidRPr="004E0CE9">
        <w:rPr>
          <w:i/>
          <w:iCs/>
          <w:lang w:val="it-IT"/>
        </w:rPr>
        <w:t>player</w:t>
      </w:r>
      <w:r w:rsidR="007762DA">
        <w:rPr>
          <w:lang w:val="it-IT"/>
        </w:rPr>
        <w:t xml:space="preserve"> che da </w:t>
      </w:r>
      <w:r w:rsidR="008236EC">
        <w:rPr>
          <w:lang w:val="it-IT"/>
        </w:rPr>
        <w:t xml:space="preserve">anni non </w:t>
      </w:r>
      <w:r w:rsidR="008236EC" w:rsidRPr="00E960AD">
        <w:rPr>
          <w:lang w:val="it-IT"/>
        </w:rPr>
        <w:t>si affacciavano più al nostro mercato</w:t>
      </w:r>
      <w:r w:rsidR="00E96AB8" w:rsidRPr="00E960AD">
        <w:rPr>
          <w:lang w:val="it-IT"/>
        </w:rPr>
        <w:t xml:space="preserve"> e facendo registrare</w:t>
      </w:r>
      <w:r w:rsidR="00565B08" w:rsidRPr="00E960AD">
        <w:rPr>
          <w:lang w:val="it-IT"/>
        </w:rPr>
        <w:t xml:space="preserve"> transazioni di dimensioni </w:t>
      </w:r>
      <w:r w:rsidR="00457850" w:rsidRPr="00E960AD">
        <w:rPr>
          <w:lang w:val="it-IT"/>
        </w:rPr>
        <w:t xml:space="preserve">medie </w:t>
      </w:r>
      <w:r w:rsidR="00565B08" w:rsidRPr="00E960AD">
        <w:rPr>
          <w:lang w:val="it-IT"/>
        </w:rPr>
        <w:t>maggiori rispetto a</w:t>
      </w:r>
      <w:r w:rsidR="00457850" w:rsidRPr="00E960AD">
        <w:rPr>
          <w:lang w:val="it-IT"/>
        </w:rPr>
        <w:t xml:space="preserve"> quanto visto in passato</w:t>
      </w:r>
      <w:r w:rsidR="00565B08" w:rsidRPr="00E960AD">
        <w:rPr>
          <w:lang w:val="it-IT"/>
        </w:rPr>
        <w:t>.</w:t>
      </w:r>
    </w:p>
    <w:p w14:paraId="3103B46C" w14:textId="12957A40" w:rsidR="007B6AEE" w:rsidRPr="00E960AD" w:rsidRDefault="00C946D6" w:rsidP="008D2B8E">
      <w:pPr>
        <w:pStyle w:val="BodyCopy"/>
        <w:jc w:val="both"/>
        <w:rPr>
          <w:lang w:val="it-IT"/>
        </w:rPr>
      </w:pPr>
      <w:r w:rsidRPr="00E960AD">
        <w:rPr>
          <w:lang w:val="it-IT"/>
        </w:rPr>
        <w:t>Milano continua a dominare la scena, con</w:t>
      </w:r>
      <w:r w:rsidR="00E960AD" w:rsidRPr="00E960AD">
        <w:rPr>
          <w:lang w:val="it-IT"/>
        </w:rPr>
        <w:t xml:space="preserve"> 1 miliardo</w:t>
      </w:r>
      <w:r w:rsidRPr="00E960AD">
        <w:rPr>
          <w:lang w:val="it-IT"/>
        </w:rPr>
        <w:t xml:space="preserve"> di euro investiti</w:t>
      </w:r>
      <w:r w:rsidR="00F17DAB" w:rsidRPr="00E960AD">
        <w:rPr>
          <w:lang w:val="it-IT"/>
        </w:rPr>
        <w:t>.</w:t>
      </w:r>
      <w:r w:rsidRPr="00E960AD">
        <w:rPr>
          <w:lang w:val="it-IT"/>
        </w:rPr>
        <w:t xml:space="preserve"> </w:t>
      </w:r>
      <w:r w:rsidR="00F17DAB" w:rsidRPr="00E960AD">
        <w:rPr>
          <w:lang w:val="it-IT"/>
        </w:rPr>
        <w:t>L</w:t>
      </w:r>
      <w:r w:rsidR="00135783" w:rsidRPr="00E960AD">
        <w:rPr>
          <w:lang w:val="it-IT"/>
        </w:rPr>
        <w:t xml:space="preserve">’attuale situazione geopolitica rallenta leggermente gli investimenti su prodotto </w:t>
      </w:r>
      <w:r w:rsidR="00135783" w:rsidRPr="00E960AD">
        <w:rPr>
          <w:i/>
          <w:iCs/>
          <w:lang w:val="it-IT"/>
        </w:rPr>
        <w:t>Core</w:t>
      </w:r>
      <w:r w:rsidR="00135783" w:rsidRPr="00E960AD">
        <w:rPr>
          <w:lang w:val="it-IT"/>
        </w:rPr>
        <w:t>, sul quale continua</w:t>
      </w:r>
      <w:r w:rsidR="00135783">
        <w:rPr>
          <w:lang w:val="it-IT"/>
        </w:rPr>
        <w:t xml:space="preserve"> tra l’altro a pesare una forte carenza di prodotto, mentre l’interesse raggiunge livelli elevatissimi</w:t>
      </w:r>
      <w:r w:rsidR="00F14C0F">
        <w:rPr>
          <w:lang w:val="it-IT"/>
        </w:rPr>
        <w:t xml:space="preserve"> su prodotto con profilo di rischio </w:t>
      </w:r>
      <w:r w:rsidR="00F14C0F" w:rsidRPr="0070346D">
        <w:rPr>
          <w:i/>
          <w:iCs/>
          <w:lang w:val="it-IT"/>
        </w:rPr>
        <w:t>value add</w:t>
      </w:r>
      <w:r w:rsidR="003253B4">
        <w:rPr>
          <w:lang w:val="it-IT"/>
        </w:rPr>
        <w:t xml:space="preserve">, con un </w:t>
      </w:r>
      <w:r w:rsidR="004F3784">
        <w:rPr>
          <w:lang w:val="it-IT"/>
        </w:rPr>
        <w:t>grande focus</w:t>
      </w:r>
      <w:r w:rsidR="003253B4">
        <w:rPr>
          <w:lang w:val="it-IT"/>
        </w:rPr>
        <w:t xml:space="preserve"> sulla qualità degli immobili</w:t>
      </w:r>
      <w:r w:rsidR="00F17DAB">
        <w:rPr>
          <w:lang w:val="it-IT"/>
        </w:rPr>
        <w:t xml:space="preserve">: la possibilità di aumentare il valore di un asset in termini di qualità, infatti, </w:t>
      </w:r>
      <w:r w:rsidR="003B1BB0">
        <w:rPr>
          <w:lang w:val="it-IT"/>
        </w:rPr>
        <w:t>porta</w:t>
      </w:r>
      <w:r w:rsidR="0027151D">
        <w:rPr>
          <w:lang w:val="it-IT"/>
        </w:rPr>
        <w:t xml:space="preserve"> a volte anche </w:t>
      </w:r>
      <w:r w:rsidR="003B1BB0">
        <w:rPr>
          <w:lang w:val="it-IT"/>
        </w:rPr>
        <w:t>a</w:t>
      </w:r>
      <w:r w:rsidR="0027151D">
        <w:rPr>
          <w:lang w:val="it-IT"/>
        </w:rPr>
        <w:t xml:space="preserve">ll’offerta di </w:t>
      </w:r>
      <w:r w:rsidR="0027151D" w:rsidRPr="004F3784">
        <w:rPr>
          <w:i/>
          <w:iCs/>
          <w:lang w:val="it-IT"/>
        </w:rPr>
        <w:t>pricing</w:t>
      </w:r>
      <w:r w:rsidR="0027151D">
        <w:rPr>
          <w:lang w:val="it-IT"/>
        </w:rPr>
        <w:t xml:space="preserve"> superiori a quelli richiesti, complice un </w:t>
      </w:r>
      <w:r w:rsidR="007F7356">
        <w:rPr>
          <w:lang w:val="it-IT"/>
        </w:rPr>
        <w:t xml:space="preserve">più agevole accesso al credito per queste operazioni </w:t>
      </w:r>
      <w:r w:rsidR="00E10626">
        <w:rPr>
          <w:lang w:val="it-IT"/>
        </w:rPr>
        <w:t xml:space="preserve">anche </w:t>
      </w:r>
      <w:r w:rsidR="0027151D">
        <w:rPr>
          <w:lang w:val="it-IT"/>
        </w:rPr>
        <w:t>attraverso canali alternativi a quelli bancari.</w:t>
      </w:r>
      <w:r w:rsidR="007137E9">
        <w:rPr>
          <w:lang w:val="it-IT"/>
        </w:rPr>
        <w:t xml:space="preserve"> In questo senso, si registra anche un interesse per location </w:t>
      </w:r>
      <w:r w:rsidR="0034096C">
        <w:rPr>
          <w:lang w:val="it-IT"/>
        </w:rPr>
        <w:t xml:space="preserve">non solo centrali, ma anche periferiche, a patto che ci sia la connettività della rete metropolitana a </w:t>
      </w:r>
      <w:r w:rsidR="0034096C" w:rsidRPr="00EB0BA6">
        <w:rPr>
          <w:i/>
          <w:iCs/>
          <w:lang w:val="it-IT"/>
        </w:rPr>
        <w:t>walking distance</w:t>
      </w:r>
      <w:r w:rsidR="0034096C">
        <w:rPr>
          <w:lang w:val="it-IT"/>
        </w:rPr>
        <w:t xml:space="preserve"> e la possibilità di raggiungere i massimi standard qualitativi, </w:t>
      </w:r>
      <w:r w:rsidR="007F7356">
        <w:rPr>
          <w:lang w:val="it-IT"/>
        </w:rPr>
        <w:t>soprattutto sotto il profilo ESG</w:t>
      </w:r>
      <w:r w:rsidR="0034096C">
        <w:rPr>
          <w:lang w:val="it-IT"/>
        </w:rPr>
        <w:t>.</w:t>
      </w:r>
      <w:r w:rsidR="00A07449">
        <w:rPr>
          <w:lang w:val="it-IT"/>
        </w:rPr>
        <w:t xml:space="preserve"> Operazioni </w:t>
      </w:r>
      <w:r w:rsidR="00A07449" w:rsidRPr="00EB0BA6">
        <w:rPr>
          <w:i/>
          <w:iCs/>
          <w:lang w:val="it-IT"/>
        </w:rPr>
        <w:t>value add</w:t>
      </w:r>
      <w:r w:rsidR="00A07449">
        <w:rPr>
          <w:lang w:val="it-IT"/>
        </w:rPr>
        <w:t xml:space="preserve"> sono ulteriormente incentivate dal premium registrato nel mercato delle locazioni qualora si riesca a creare un prodotto innovativo, </w:t>
      </w:r>
      <w:r w:rsidR="00BB2E71">
        <w:rPr>
          <w:lang w:val="it-IT"/>
        </w:rPr>
        <w:t xml:space="preserve">sia nel CBD sia nelle </w:t>
      </w:r>
      <w:r w:rsidR="00BB2E71" w:rsidRPr="00E960AD">
        <w:rPr>
          <w:lang w:val="it-IT"/>
        </w:rPr>
        <w:t>location periferiche.</w:t>
      </w:r>
    </w:p>
    <w:p w14:paraId="6B72F28F" w14:textId="7DB14D65" w:rsidR="00713DE6" w:rsidRPr="00E960AD" w:rsidRDefault="0027151D" w:rsidP="008D2B8E">
      <w:pPr>
        <w:pStyle w:val="BodyCopy"/>
        <w:jc w:val="both"/>
        <w:rPr>
          <w:lang w:val="it-IT"/>
        </w:rPr>
      </w:pPr>
      <w:r w:rsidRPr="00E960AD">
        <w:rPr>
          <w:lang w:val="it-IT"/>
        </w:rPr>
        <w:t>Roma</w:t>
      </w:r>
      <w:r w:rsidR="007E11DB" w:rsidRPr="00E960AD">
        <w:rPr>
          <w:lang w:val="it-IT"/>
        </w:rPr>
        <w:t xml:space="preserve"> fa registrare volumi di tutto rispetto, raggiungendo un totale di </w:t>
      </w:r>
      <w:r w:rsidR="00E960AD" w:rsidRPr="00E960AD">
        <w:rPr>
          <w:lang w:val="it-IT"/>
        </w:rPr>
        <w:t>250</w:t>
      </w:r>
      <w:r w:rsidR="007E11DB" w:rsidRPr="00E960AD">
        <w:rPr>
          <w:lang w:val="it-IT"/>
        </w:rPr>
        <w:t xml:space="preserve"> milioni di euro,</w:t>
      </w:r>
      <w:r w:rsidR="00C40AD3" w:rsidRPr="00E960AD">
        <w:rPr>
          <w:lang w:val="it-IT"/>
        </w:rPr>
        <w:t xml:space="preserve"> a conferma delle potenzialità del mercato romano e dell’interesse nei suoi confronti da parte degli investitori.</w:t>
      </w:r>
      <w:r w:rsidR="007E11DB" w:rsidRPr="00E960AD">
        <w:rPr>
          <w:lang w:val="it-IT"/>
        </w:rPr>
        <w:t xml:space="preserve"> </w:t>
      </w:r>
      <w:r w:rsidR="00C40AD3" w:rsidRPr="00E960AD">
        <w:rPr>
          <w:lang w:val="it-IT"/>
        </w:rPr>
        <w:t xml:space="preserve">Gli investimenti si sono </w:t>
      </w:r>
      <w:r w:rsidR="007E11DB" w:rsidRPr="00E960AD">
        <w:rPr>
          <w:lang w:val="it-IT"/>
        </w:rPr>
        <w:t xml:space="preserve">concentrati soprattutto su prodotto </w:t>
      </w:r>
      <w:r w:rsidR="007E11DB" w:rsidRPr="00E960AD">
        <w:rPr>
          <w:i/>
          <w:iCs/>
          <w:lang w:val="it-IT"/>
        </w:rPr>
        <w:t>Core</w:t>
      </w:r>
      <w:r w:rsidR="00F56B8D" w:rsidRPr="00E960AD">
        <w:rPr>
          <w:lang w:val="it-IT"/>
        </w:rPr>
        <w:t>, che trova mercato a rendimenti non lontani dal 3% netto</w:t>
      </w:r>
      <w:r w:rsidR="00C40AD3" w:rsidRPr="00E960AD">
        <w:rPr>
          <w:lang w:val="it-IT"/>
        </w:rPr>
        <w:t xml:space="preserve"> in location centrali</w:t>
      </w:r>
      <w:r w:rsidR="00F56B8D" w:rsidRPr="00E960AD">
        <w:rPr>
          <w:lang w:val="it-IT"/>
        </w:rPr>
        <w:t xml:space="preserve">. Sebbene il prodotto </w:t>
      </w:r>
      <w:r w:rsidR="00F56B8D" w:rsidRPr="00E960AD">
        <w:rPr>
          <w:i/>
          <w:iCs/>
          <w:lang w:val="it-IT"/>
        </w:rPr>
        <w:t>value add</w:t>
      </w:r>
      <w:r w:rsidR="00F56B8D" w:rsidRPr="00E960AD">
        <w:rPr>
          <w:lang w:val="it-IT"/>
        </w:rPr>
        <w:t xml:space="preserve"> abbia grandi potenzialità, pesa sulla Capitale una maggiore difficoltà in termini di </w:t>
      </w:r>
      <w:r w:rsidR="00F56B8D" w:rsidRPr="00E960AD">
        <w:rPr>
          <w:i/>
          <w:iCs/>
          <w:lang w:val="it-IT"/>
        </w:rPr>
        <w:t>pricing</w:t>
      </w:r>
      <w:r w:rsidR="00F56B8D" w:rsidRPr="00E960AD">
        <w:rPr>
          <w:lang w:val="it-IT"/>
        </w:rPr>
        <w:t xml:space="preserve"> e gestione dei progetti</w:t>
      </w:r>
      <w:r w:rsidR="00F0508A" w:rsidRPr="00E960AD">
        <w:rPr>
          <w:lang w:val="it-IT"/>
        </w:rPr>
        <w:t xml:space="preserve"> da costruire. </w:t>
      </w:r>
    </w:p>
    <w:p w14:paraId="69B242CC" w14:textId="482DC0EE" w:rsidR="00C40AD3" w:rsidRPr="00E960AD" w:rsidRDefault="00C40AD3" w:rsidP="008D2B8E">
      <w:pPr>
        <w:pStyle w:val="BodyCopy"/>
        <w:jc w:val="both"/>
        <w:rPr>
          <w:lang w:val="it-IT"/>
        </w:rPr>
      </w:pPr>
      <w:r w:rsidRPr="00E960AD">
        <w:rPr>
          <w:lang w:val="it-IT"/>
        </w:rPr>
        <w:t xml:space="preserve">La </w:t>
      </w:r>
      <w:r w:rsidRPr="00E960AD">
        <w:rPr>
          <w:i/>
          <w:iCs/>
          <w:lang w:val="it-IT"/>
        </w:rPr>
        <w:t>pipeline</w:t>
      </w:r>
      <w:r w:rsidRPr="00E960AD">
        <w:rPr>
          <w:lang w:val="it-IT"/>
        </w:rPr>
        <w:t xml:space="preserve"> del comparto, in generale, </w:t>
      </w:r>
      <w:r w:rsidR="008F698C" w:rsidRPr="00E960AD">
        <w:rPr>
          <w:lang w:val="it-IT"/>
        </w:rPr>
        <w:t>rende plausibile ipotizzare una chiusura d’anno ai livelli pre-Covid-19.</w:t>
      </w:r>
    </w:p>
    <w:p w14:paraId="44C765B7" w14:textId="77777777" w:rsidR="007B6AEE" w:rsidRPr="00E960AD" w:rsidRDefault="007B6AEE" w:rsidP="008D2B8E">
      <w:pPr>
        <w:pStyle w:val="BodyCopy"/>
        <w:jc w:val="both"/>
        <w:rPr>
          <w:lang w:val="it-IT"/>
        </w:rPr>
      </w:pPr>
    </w:p>
    <w:p w14:paraId="58A55ADF" w14:textId="326E9B34" w:rsidR="007C3EBA" w:rsidRDefault="005D7B51" w:rsidP="008D2B8E">
      <w:pPr>
        <w:pStyle w:val="BodyCopy"/>
        <w:jc w:val="both"/>
        <w:rPr>
          <w:lang w:val="it-IT"/>
        </w:rPr>
      </w:pPr>
      <w:r w:rsidRPr="00E960AD">
        <w:rPr>
          <w:lang w:val="it-IT"/>
        </w:rPr>
        <w:t xml:space="preserve">Continuano i record </w:t>
      </w:r>
      <w:r w:rsidR="008D2B8E" w:rsidRPr="00E960AD">
        <w:rPr>
          <w:lang w:val="it-IT"/>
        </w:rPr>
        <w:t xml:space="preserve">per la </w:t>
      </w:r>
      <w:r w:rsidR="008D2B8E" w:rsidRPr="00E960AD">
        <w:rPr>
          <w:b/>
          <w:bCs/>
          <w:lang w:val="it-IT"/>
        </w:rPr>
        <w:t xml:space="preserve">Logistica, </w:t>
      </w:r>
      <w:r w:rsidR="008D2B8E" w:rsidRPr="00E960AD">
        <w:rPr>
          <w:lang w:val="it-IT"/>
        </w:rPr>
        <w:t>che</w:t>
      </w:r>
      <w:r w:rsidR="00612512" w:rsidRPr="00E960AD">
        <w:rPr>
          <w:lang w:val="it-IT"/>
        </w:rPr>
        <w:t xml:space="preserve"> registra il trimestre col valore più alto </w:t>
      </w:r>
      <w:r w:rsidR="004858A4" w:rsidRPr="00E960AD">
        <w:rPr>
          <w:lang w:val="it-IT"/>
        </w:rPr>
        <w:t xml:space="preserve">in assoluto, a quota </w:t>
      </w:r>
      <w:r w:rsidR="008553BF" w:rsidRPr="00E960AD">
        <w:rPr>
          <w:lang w:val="it-IT"/>
        </w:rPr>
        <w:t>640</w:t>
      </w:r>
      <w:r w:rsidR="004858A4" w:rsidRPr="00E960AD">
        <w:rPr>
          <w:lang w:val="it-IT"/>
        </w:rPr>
        <w:t xml:space="preserve"> milioni di euro</w:t>
      </w:r>
      <w:r w:rsidR="008D2B8E" w:rsidRPr="00E960AD">
        <w:rPr>
          <w:lang w:val="it-IT"/>
        </w:rPr>
        <w:t xml:space="preserve">. </w:t>
      </w:r>
      <w:r w:rsidR="007C3EBA" w:rsidRPr="00E960AD">
        <w:rPr>
          <w:lang w:val="it-IT"/>
        </w:rPr>
        <w:t>Per quanto riguarda il prodotto esistente</w:t>
      </w:r>
      <w:r w:rsidR="00043C5A" w:rsidRPr="00E960AD">
        <w:rPr>
          <w:lang w:val="it-IT"/>
        </w:rPr>
        <w:t xml:space="preserve">, circa la metà delle operazioni si è </w:t>
      </w:r>
      <w:r w:rsidR="003A3CF4" w:rsidRPr="00E960AD">
        <w:rPr>
          <w:lang w:val="it-IT"/>
        </w:rPr>
        <w:t xml:space="preserve">tenuta in modalità </w:t>
      </w:r>
      <w:r w:rsidR="003A3CF4" w:rsidRPr="00E960AD">
        <w:rPr>
          <w:i/>
          <w:iCs/>
          <w:lang w:val="it-IT"/>
        </w:rPr>
        <w:t>off-market</w:t>
      </w:r>
      <w:r w:rsidR="003A3CF4" w:rsidRPr="00E960AD">
        <w:rPr>
          <w:lang w:val="it-IT"/>
        </w:rPr>
        <w:t>, con acquirenti disposti a offrire</w:t>
      </w:r>
      <w:r w:rsidR="009C59CA" w:rsidRPr="00E960AD">
        <w:rPr>
          <w:lang w:val="it-IT"/>
        </w:rPr>
        <w:t xml:space="preserve"> un premio</w:t>
      </w:r>
      <w:r w:rsidR="00EB0BA6" w:rsidRPr="00E960AD">
        <w:rPr>
          <w:lang w:val="it-IT"/>
        </w:rPr>
        <w:t xml:space="preserve"> a fronte </w:t>
      </w:r>
      <w:r w:rsidR="003A3CF4" w:rsidRPr="00E960AD">
        <w:rPr>
          <w:lang w:val="it-IT"/>
        </w:rPr>
        <w:t xml:space="preserve">di necessità di </w:t>
      </w:r>
      <w:r w:rsidR="003A3CF4" w:rsidRPr="00E960AD">
        <w:rPr>
          <w:i/>
          <w:iCs/>
          <w:lang w:val="it-IT"/>
        </w:rPr>
        <w:t>deployment</w:t>
      </w:r>
      <w:r w:rsidR="00EB0BA6" w:rsidRPr="00E960AD">
        <w:rPr>
          <w:i/>
          <w:iCs/>
          <w:lang w:val="it-IT"/>
        </w:rPr>
        <w:t xml:space="preserve"> </w:t>
      </w:r>
      <w:r w:rsidR="00EB0BA6" w:rsidRPr="00E960AD">
        <w:rPr>
          <w:lang w:val="it-IT"/>
        </w:rPr>
        <w:t>sempre più veloci</w:t>
      </w:r>
      <w:r w:rsidR="003A3CF4" w:rsidRPr="00E960AD">
        <w:rPr>
          <w:lang w:val="it-IT"/>
        </w:rPr>
        <w:t xml:space="preserve">. </w:t>
      </w:r>
      <w:r w:rsidR="007C3EBA" w:rsidRPr="00E960AD">
        <w:rPr>
          <w:lang w:val="it-IT"/>
        </w:rPr>
        <w:t>Si registra invece una dilatazione delle tempistiche legate a</w:t>
      </w:r>
      <w:r w:rsidR="007C3EBA">
        <w:rPr>
          <w:lang w:val="it-IT"/>
        </w:rPr>
        <w:t xml:space="preserve"> prodott</w:t>
      </w:r>
      <w:r w:rsidR="0072481B">
        <w:rPr>
          <w:lang w:val="it-IT"/>
        </w:rPr>
        <w:t>o nuovo transato in modalità</w:t>
      </w:r>
      <w:r w:rsidR="007C3EBA">
        <w:rPr>
          <w:lang w:val="it-IT"/>
        </w:rPr>
        <w:t xml:space="preserve"> </w:t>
      </w:r>
      <w:r w:rsidR="007C3EBA" w:rsidRPr="00814899">
        <w:rPr>
          <w:i/>
          <w:iCs/>
          <w:lang w:val="it-IT"/>
        </w:rPr>
        <w:t>forward purchase</w:t>
      </w:r>
      <w:r w:rsidR="007F7356">
        <w:rPr>
          <w:i/>
          <w:iCs/>
          <w:lang w:val="it-IT"/>
        </w:rPr>
        <w:t xml:space="preserve">, </w:t>
      </w:r>
      <w:r w:rsidR="007F7356">
        <w:rPr>
          <w:lang w:val="it-IT"/>
        </w:rPr>
        <w:t>dovuta alla significativa durata delle procedure urbanistiche e all’incremento dei costi di costruzione registrato negli ultimi mesi</w:t>
      </w:r>
      <w:r w:rsidR="007A0680">
        <w:rPr>
          <w:lang w:val="it-IT"/>
        </w:rPr>
        <w:t xml:space="preserve">. Il mercato </w:t>
      </w:r>
      <w:r w:rsidR="00661A18">
        <w:rPr>
          <w:lang w:val="it-IT"/>
        </w:rPr>
        <w:t>ha ormai raggiunto totale apertura</w:t>
      </w:r>
      <w:r w:rsidR="007A0680">
        <w:rPr>
          <w:lang w:val="it-IT"/>
        </w:rPr>
        <w:t xml:space="preserve"> ad asset estremamente specializzati (</w:t>
      </w:r>
      <w:r w:rsidR="00CF47D7">
        <w:rPr>
          <w:lang w:val="it-IT"/>
        </w:rPr>
        <w:t xml:space="preserve">come i </w:t>
      </w:r>
      <w:r w:rsidR="007A0680" w:rsidRPr="00CF47D7">
        <w:rPr>
          <w:i/>
          <w:iCs/>
          <w:lang w:val="it-IT"/>
        </w:rPr>
        <w:t>frozen</w:t>
      </w:r>
      <w:r w:rsidR="007A0680">
        <w:rPr>
          <w:lang w:val="it-IT"/>
        </w:rPr>
        <w:t>)</w:t>
      </w:r>
      <w:r w:rsidR="00EA0F8A">
        <w:rPr>
          <w:lang w:val="it-IT"/>
        </w:rPr>
        <w:t>,</w:t>
      </w:r>
      <w:r w:rsidR="00661A18">
        <w:rPr>
          <w:lang w:val="it-IT"/>
        </w:rPr>
        <w:t xml:space="preserve"> le cui caratteristiche sono</w:t>
      </w:r>
      <w:r w:rsidR="00EA0F8A">
        <w:rPr>
          <w:lang w:val="it-IT"/>
        </w:rPr>
        <w:t xml:space="preserve"> vist</w:t>
      </w:r>
      <w:r w:rsidR="00661A18">
        <w:rPr>
          <w:lang w:val="it-IT"/>
        </w:rPr>
        <w:t>e</w:t>
      </w:r>
      <w:r w:rsidR="00EA0F8A">
        <w:rPr>
          <w:lang w:val="it-IT"/>
        </w:rPr>
        <w:t xml:space="preserve"> non più come</w:t>
      </w:r>
      <w:r w:rsidR="00661A18">
        <w:rPr>
          <w:lang w:val="it-IT"/>
        </w:rPr>
        <w:t xml:space="preserve"> </w:t>
      </w:r>
      <w:r w:rsidR="00EA0F8A">
        <w:rPr>
          <w:lang w:val="it-IT"/>
        </w:rPr>
        <w:t>un</w:t>
      </w:r>
      <w:r w:rsidR="00661A18">
        <w:rPr>
          <w:lang w:val="it-IT"/>
        </w:rPr>
        <w:t xml:space="preserve"> fattore di</w:t>
      </w:r>
      <w:r w:rsidR="00EA0F8A">
        <w:rPr>
          <w:lang w:val="it-IT"/>
        </w:rPr>
        <w:t xml:space="preserve"> rischio </w:t>
      </w:r>
      <w:r w:rsidR="00661A18">
        <w:rPr>
          <w:lang w:val="it-IT"/>
        </w:rPr>
        <w:t xml:space="preserve">per l’investimento </w:t>
      </w:r>
      <w:r w:rsidR="00EA0F8A">
        <w:rPr>
          <w:lang w:val="it-IT"/>
        </w:rPr>
        <w:t xml:space="preserve">ma come un valore aggiunto </w:t>
      </w:r>
      <w:r w:rsidR="007F7356">
        <w:rPr>
          <w:lang w:val="it-IT"/>
        </w:rPr>
        <w:t xml:space="preserve">in termini di </w:t>
      </w:r>
      <w:r w:rsidR="007F7356" w:rsidRPr="007F7356">
        <w:rPr>
          <w:i/>
          <w:iCs/>
          <w:lang w:val="it-IT"/>
        </w:rPr>
        <w:t>retention</w:t>
      </w:r>
      <w:r w:rsidR="007F7356">
        <w:rPr>
          <w:lang w:val="it-IT"/>
        </w:rPr>
        <w:t xml:space="preserve"> </w:t>
      </w:r>
      <w:r w:rsidR="00EA0F8A">
        <w:rPr>
          <w:lang w:val="it-IT"/>
        </w:rPr>
        <w:t xml:space="preserve">per i possibili </w:t>
      </w:r>
      <w:r w:rsidR="00EA0F8A" w:rsidRPr="009A5297">
        <w:rPr>
          <w:i/>
          <w:iCs/>
          <w:lang w:val="it-IT"/>
        </w:rPr>
        <w:t>tenant</w:t>
      </w:r>
      <w:r w:rsidR="00EA0F8A">
        <w:rPr>
          <w:lang w:val="it-IT"/>
        </w:rPr>
        <w:t>.</w:t>
      </w:r>
    </w:p>
    <w:p w14:paraId="3B61CA9F" w14:textId="0A9CC9BA" w:rsidR="00B9193F" w:rsidRDefault="00925780" w:rsidP="00B9193F">
      <w:pPr>
        <w:pStyle w:val="BodyCopy"/>
        <w:jc w:val="both"/>
        <w:rPr>
          <w:lang w:val="it-IT"/>
        </w:rPr>
      </w:pPr>
      <w:r>
        <w:rPr>
          <w:lang w:val="it-IT"/>
        </w:rPr>
        <w:t>Continua la compressione dei rendimenti, sebbene a ritmi più contenuti</w:t>
      </w:r>
      <w:r w:rsidR="00B9193F">
        <w:rPr>
          <w:lang w:val="it-IT"/>
        </w:rPr>
        <w:t xml:space="preserve"> (3</w:t>
      </w:r>
      <w:r w:rsidR="00E960AD">
        <w:rPr>
          <w:lang w:val="it-IT"/>
        </w:rPr>
        <w:t>,</w:t>
      </w:r>
      <w:r w:rsidR="00B9193F">
        <w:rPr>
          <w:lang w:val="it-IT"/>
        </w:rPr>
        <w:t xml:space="preserve">85%, 10 </w:t>
      </w:r>
      <w:r w:rsidR="00B9193F" w:rsidRPr="00A00524">
        <w:rPr>
          <w:i/>
          <w:iCs/>
          <w:lang w:val="it-IT"/>
        </w:rPr>
        <w:t>basis point</w:t>
      </w:r>
      <w:r w:rsidR="00B9193F">
        <w:rPr>
          <w:i/>
          <w:iCs/>
          <w:lang w:val="it-IT"/>
        </w:rPr>
        <w:t xml:space="preserve"> </w:t>
      </w:r>
      <w:r w:rsidR="00B9193F" w:rsidRPr="00A00524">
        <w:rPr>
          <w:lang w:val="it-IT"/>
        </w:rPr>
        <w:t>in meno rispetto alla fine del 2021)</w:t>
      </w:r>
      <w:r w:rsidR="0064631D">
        <w:rPr>
          <w:lang w:val="it-IT"/>
        </w:rPr>
        <w:t>.</w:t>
      </w:r>
      <w:r w:rsidR="00B9193F">
        <w:rPr>
          <w:lang w:val="it-IT"/>
        </w:rPr>
        <w:t xml:space="preserve"> L’impatto dell’inflazione e del rialzo dei tassi per il momento non preoccupa. Nel breve-medio termine ci si aspetta una resilienza per le opportunità con fondamentali forti in termini di location oltre che di qualità, oggetto di interesse per investitori long-term a leva finanziaria limitata. Tuttavia, l’impatto potrebbe essere più rilevante per le opportunità supercore affittate a tenant AAA con contratti di lungo termine, target di investitori oltre oceano ricorrenti ad alte leve.</w:t>
      </w:r>
    </w:p>
    <w:p w14:paraId="308DA108" w14:textId="77777777" w:rsidR="009F10BF" w:rsidRPr="007F3B31" w:rsidRDefault="009F10BF" w:rsidP="009F10BF">
      <w:pPr>
        <w:pStyle w:val="BodyCopy"/>
        <w:jc w:val="both"/>
        <w:rPr>
          <w:lang w:val="it-IT"/>
        </w:rPr>
      </w:pPr>
      <w:r>
        <w:rPr>
          <w:lang w:val="it-IT"/>
        </w:rPr>
        <w:t xml:space="preserve">Infine, l’effetto della </w:t>
      </w:r>
      <w:r w:rsidRPr="00A00524">
        <w:rPr>
          <w:i/>
          <w:iCs/>
          <w:lang w:val="it-IT"/>
        </w:rPr>
        <w:t>rental growth</w:t>
      </w:r>
      <w:r>
        <w:rPr>
          <w:i/>
          <w:iCs/>
          <w:lang w:val="it-IT"/>
        </w:rPr>
        <w:t xml:space="preserve"> </w:t>
      </w:r>
      <w:r>
        <w:rPr>
          <w:lang w:val="it-IT"/>
        </w:rPr>
        <w:t>continuerà a giocare un ruolo essenziale nell’analisi delle opportunità, privilegiando investimenti con strutture contrattuali capaci di beneficiare di una rinegoziazione del canone nel prossimo futuro.</w:t>
      </w:r>
    </w:p>
    <w:p w14:paraId="5622466E" w14:textId="31A70363" w:rsidR="00EA0F8A" w:rsidRDefault="00EA0F8A" w:rsidP="008D2B8E">
      <w:pPr>
        <w:pStyle w:val="BodyCopy"/>
        <w:jc w:val="both"/>
        <w:rPr>
          <w:lang w:val="it-IT"/>
        </w:rPr>
      </w:pPr>
    </w:p>
    <w:p w14:paraId="6473399E" w14:textId="77777777" w:rsidR="006B6041" w:rsidRDefault="006B6041" w:rsidP="008D2B8E">
      <w:pPr>
        <w:pStyle w:val="BodyCopy"/>
        <w:jc w:val="both"/>
        <w:rPr>
          <w:lang w:val="it-IT"/>
        </w:rPr>
      </w:pPr>
    </w:p>
    <w:p w14:paraId="104762D1" w14:textId="7B4ECC89" w:rsidR="00AA1EA6" w:rsidRDefault="008168C1" w:rsidP="005969AC">
      <w:pPr>
        <w:pStyle w:val="BodyCopy"/>
        <w:jc w:val="both"/>
        <w:rPr>
          <w:lang w:val="it-IT"/>
        </w:rPr>
      </w:pPr>
      <w:r>
        <w:rPr>
          <w:lang w:val="it-IT"/>
        </w:rPr>
        <w:lastRenderedPageBreak/>
        <w:t>Trimestre importante anche per l</w:t>
      </w:r>
      <w:r w:rsidR="00E626BA">
        <w:rPr>
          <w:lang w:val="it-IT"/>
        </w:rPr>
        <w:t xml:space="preserve">’asset class </w:t>
      </w:r>
      <w:r w:rsidR="00E626BA" w:rsidRPr="00E960AD">
        <w:rPr>
          <w:b/>
          <w:bCs/>
          <w:lang w:val="it-IT"/>
        </w:rPr>
        <w:t>Hotels</w:t>
      </w:r>
      <w:r w:rsidRPr="00E960AD">
        <w:rPr>
          <w:b/>
          <w:bCs/>
          <w:lang w:val="it-IT"/>
        </w:rPr>
        <w:t>,</w:t>
      </w:r>
      <w:r w:rsidR="00E626BA" w:rsidRPr="00E960AD">
        <w:rPr>
          <w:lang w:val="it-IT"/>
        </w:rPr>
        <w:t xml:space="preserve"> </w:t>
      </w:r>
      <w:r w:rsidRPr="00E960AD">
        <w:rPr>
          <w:lang w:val="it-IT"/>
        </w:rPr>
        <w:t>con 4</w:t>
      </w:r>
      <w:r w:rsidR="00736657" w:rsidRPr="00E960AD">
        <w:rPr>
          <w:lang w:val="it-IT"/>
        </w:rPr>
        <w:t>00</w:t>
      </w:r>
      <w:r w:rsidRPr="00E960AD">
        <w:rPr>
          <w:lang w:val="it-IT"/>
        </w:rPr>
        <w:t xml:space="preserve"> milioni </w:t>
      </w:r>
      <w:r w:rsidR="00E626BA" w:rsidRPr="00E960AD">
        <w:rPr>
          <w:lang w:val="it-IT"/>
        </w:rPr>
        <w:t xml:space="preserve">di euro di investimenti da inizio anno, </w:t>
      </w:r>
      <w:r w:rsidR="00F14293" w:rsidRPr="00E960AD">
        <w:rPr>
          <w:lang w:val="it-IT"/>
        </w:rPr>
        <w:t xml:space="preserve">un volume </w:t>
      </w:r>
      <w:r w:rsidR="003814DB" w:rsidRPr="00E960AD">
        <w:rPr>
          <w:lang w:val="it-IT"/>
        </w:rPr>
        <w:t xml:space="preserve">quasi triplicato rispetto a quello registrato nello stesso periodo dello scorso anno. </w:t>
      </w:r>
      <w:r w:rsidR="002C72AE" w:rsidRPr="00E960AD">
        <w:rPr>
          <w:lang w:val="it-IT"/>
        </w:rPr>
        <w:t>Il comparto ha visto, nei primi tre mesi, la chiusura di 1</w:t>
      </w:r>
      <w:r w:rsidR="009F10BF" w:rsidRPr="00E960AD">
        <w:rPr>
          <w:lang w:val="it-IT"/>
        </w:rPr>
        <w:t xml:space="preserve">2 </w:t>
      </w:r>
      <w:r w:rsidR="002C72AE" w:rsidRPr="00E960AD">
        <w:rPr>
          <w:lang w:val="it-IT"/>
        </w:rPr>
        <w:t xml:space="preserve">operazioni, 5 delle quali legate al segmento resort, che era stato </w:t>
      </w:r>
      <w:r w:rsidR="007F7356" w:rsidRPr="00E960AD">
        <w:rPr>
          <w:lang w:val="it-IT"/>
        </w:rPr>
        <w:t>uno tra i più performanti</w:t>
      </w:r>
      <w:r w:rsidR="002C72AE" w:rsidRPr="00E960AD">
        <w:rPr>
          <w:lang w:val="it-IT"/>
        </w:rPr>
        <w:t xml:space="preserve"> del 2021.</w:t>
      </w:r>
      <w:r w:rsidR="00B54FBB" w:rsidRPr="00E960AD">
        <w:rPr>
          <w:lang w:val="it-IT"/>
        </w:rPr>
        <w:t xml:space="preserve"> </w:t>
      </w:r>
      <w:r w:rsidR="009F10BF" w:rsidRPr="00E960AD">
        <w:rPr>
          <w:lang w:val="it-IT"/>
        </w:rPr>
        <w:t>Sta via via aumentando</w:t>
      </w:r>
      <w:r w:rsidR="00B54FBB" w:rsidRPr="00E960AD">
        <w:rPr>
          <w:lang w:val="it-IT"/>
        </w:rPr>
        <w:t>, rispetto</w:t>
      </w:r>
      <w:r w:rsidR="00B54FBB">
        <w:rPr>
          <w:lang w:val="it-IT"/>
        </w:rPr>
        <w:t xml:space="preserve"> al passato, la dimensione media </w:t>
      </w:r>
      <w:r w:rsidR="009F10BF">
        <w:rPr>
          <w:lang w:val="it-IT"/>
        </w:rPr>
        <w:t>del transato</w:t>
      </w:r>
      <w:r w:rsidR="00B54FBB">
        <w:rPr>
          <w:lang w:val="it-IT"/>
        </w:rPr>
        <w:t xml:space="preserve">, </w:t>
      </w:r>
      <w:r w:rsidR="00195A94">
        <w:rPr>
          <w:lang w:val="it-IT"/>
        </w:rPr>
        <w:t xml:space="preserve">grazie anche alla </w:t>
      </w:r>
      <w:r w:rsidR="00B54FBB">
        <w:rPr>
          <w:lang w:val="it-IT"/>
        </w:rPr>
        <w:t>preferenza per prodotti con posizionamento potenzialmente luxury</w:t>
      </w:r>
      <w:r w:rsidR="00566A81">
        <w:rPr>
          <w:lang w:val="it-IT"/>
        </w:rPr>
        <w:t xml:space="preserve">. </w:t>
      </w:r>
      <w:r w:rsidR="00195A94">
        <w:rPr>
          <w:lang w:val="it-IT"/>
        </w:rPr>
        <w:t xml:space="preserve">L’inizio del </w:t>
      </w:r>
      <w:r w:rsidR="00566A81">
        <w:rPr>
          <w:lang w:val="it-IT"/>
        </w:rPr>
        <w:t xml:space="preserve">2022 ha visto il ritorno sul mercato degli </w:t>
      </w:r>
      <w:r w:rsidR="00566A81" w:rsidRPr="008B2444">
        <w:rPr>
          <w:i/>
          <w:iCs/>
          <w:lang w:val="it-IT"/>
        </w:rPr>
        <w:t>owner operator</w:t>
      </w:r>
      <w:r w:rsidR="00566A81">
        <w:rPr>
          <w:lang w:val="it-IT"/>
        </w:rPr>
        <w:t xml:space="preserve">, operatori che acquisiscono </w:t>
      </w:r>
      <w:r w:rsidR="00320C2F">
        <w:rPr>
          <w:lang w:val="it-IT"/>
        </w:rPr>
        <w:t xml:space="preserve">asset </w:t>
      </w:r>
      <w:r w:rsidR="00566A81">
        <w:rPr>
          <w:lang w:val="it-IT"/>
        </w:rPr>
        <w:t>con l’obiettivo di gestir</w:t>
      </w:r>
      <w:r w:rsidR="00320C2F">
        <w:rPr>
          <w:lang w:val="it-IT"/>
        </w:rPr>
        <w:t>li</w:t>
      </w:r>
      <w:r w:rsidR="00566A81">
        <w:rPr>
          <w:lang w:val="it-IT"/>
        </w:rPr>
        <w:t xml:space="preserve"> </w:t>
      </w:r>
      <w:r w:rsidR="00195A94">
        <w:rPr>
          <w:lang w:val="it-IT"/>
        </w:rPr>
        <w:t>direttamente</w:t>
      </w:r>
      <w:r w:rsidR="007F7356">
        <w:rPr>
          <w:lang w:val="it-IT"/>
        </w:rPr>
        <w:t>: questo testimonia una fiducia crescente nei confronti dell’asset class, che vede ormai ridursi i rischi connessi all’avvento di nuove ondate pandemiche</w:t>
      </w:r>
      <w:r w:rsidR="00320C2F">
        <w:rPr>
          <w:lang w:val="it-IT"/>
        </w:rPr>
        <w:t>.</w:t>
      </w:r>
    </w:p>
    <w:p w14:paraId="65D42FB3" w14:textId="77777777" w:rsidR="00320C2F" w:rsidRDefault="00320C2F" w:rsidP="005969AC">
      <w:pPr>
        <w:pStyle w:val="BodyCopy"/>
        <w:jc w:val="both"/>
        <w:rPr>
          <w:lang w:val="it-IT"/>
        </w:rPr>
      </w:pPr>
    </w:p>
    <w:p w14:paraId="4406517B" w14:textId="1A90DA6B" w:rsidR="00BA75A3" w:rsidRDefault="00BA75A3" w:rsidP="00E50EE4">
      <w:pPr>
        <w:pStyle w:val="BodyCopy"/>
        <w:jc w:val="both"/>
        <w:rPr>
          <w:lang w:val="it-IT"/>
        </w:rPr>
      </w:pPr>
    </w:p>
    <w:p w14:paraId="2168DFA0" w14:textId="5E8520B5" w:rsidR="008B163A" w:rsidRDefault="008B163A" w:rsidP="008B163A">
      <w:pPr>
        <w:pStyle w:val="BodyCopy"/>
        <w:jc w:val="both"/>
        <w:rPr>
          <w:lang w:val="it-IT"/>
        </w:rPr>
      </w:pPr>
      <w:r w:rsidRPr="00E960AD">
        <w:rPr>
          <w:lang w:val="it-IT"/>
        </w:rPr>
        <w:t xml:space="preserve">Positivi i volumi per il </w:t>
      </w:r>
      <w:r w:rsidRPr="00E960AD">
        <w:rPr>
          <w:b/>
          <w:bCs/>
          <w:lang w:val="it-IT"/>
        </w:rPr>
        <w:t xml:space="preserve">Retail, </w:t>
      </w:r>
      <w:r w:rsidRPr="00E960AD">
        <w:rPr>
          <w:lang w:val="it-IT"/>
        </w:rPr>
        <w:t>che mostra finalmente segnali di inversione rispetto agli ultimi anni: sono 230 i milioni di euro investiti da inizio anno nel comparto (+48% rispetto al</w:t>
      </w:r>
      <w:r>
        <w:rPr>
          <w:lang w:val="it-IT"/>
        </w:rPr>
        <w:t xml:space="preserve"> primo trimestre dell’anno precedente). Al totale hanno contribuito diverse operazioni con una dimensione media contenuta, oltre a una rilevante operazione su un </w:t>
      </w:r>
      <w:r w:rsidRPr="00D95DB0">
        <w:rPr>
          <w:i/>
          <w:iCs/>
          <w:lang w:val="it-IT"/>
        </w:rPr>
        <w:t>retail park</w:t>
      </w:r>
      <w:r>
        <w:rPr>
          <w:lang w:val="it-IT"/>
        </w:rPr>
        <w:t xml:space="preserve"> portata avanti da investitori istituzionali, che conferma la grande attenzione per questa specifica tipologia di immobile. Le altre sub-asset class maggiormente ricercate in questo momento sono </w:t>
      </w:r>
      <w:r w:rsidRPr="00E70849">
        <w:rPr>
          <w:i/>
          <w:iCs/>
          <w:lang w:val="it-IT"/>
        </w:rPr>
        <w:t>grocery</w:t>
      </w:r>
      <w:r>
        <w:rPr>
          <w:lang w:val="it-IT"/>
        </w:rPr>
        <w:t xml:space="preserve"> e </w:t>
      </w:r>
      <w:r w:rsidRPr="00E70849">
        <w:rPr>
          <w:i/>
          <w:iCs/>
          <w:lang w:val="it-IT"/>
        </w:rPr>
        <w:t>high street</w:t>
      </w:r>
      <w:r>
        <w:rPr>
          <w:lang w:val="it-IT"/>
        </w:rPr>
        <w:t xml:space="preserve">. Ancora limitati invece gli investimenti in centri commerciali, ma la stabilizzazione delle performance, sostenuta dall’uscita dalla crisi sanitaria, potrà facilitare la chiusura di nuove operazioni nel corso della seconda metà dell’anno. Si conferma, comunque, l’interesse degli investitori internazionali per i prodotti Retail italiani: il trimestre ha visto l’arrivo di nuovi </w:t>
      </w:r>
      <w:r w:rsidRPr="00FD7AD0">
        <w:rPr>
          <w:i/>
          <w:iCs/>
          <w:lang w:val="it-IT"/>
        </w:rPr>
        <w:t>player</w:t>
      </w:r>
      <w:r>
        <w:rPr>
          <w:lang w:val="it-IT"/>
        </w:rPr>
        <w:t xml:space="preserve"> sul mercato e la conferma delle strategie di investimento sul territorio da parte di investitori stranieri che si sono avvicinati al nostro mercato nel corso del 2021.</w:t>
      </w:r>
    </w:p>
    <w:p w14:paraId="4B2FF74C" w14:textId="77777777" w:rsidR="006A0C6A" w:rsidRDefault="006A0C6A" w:rsidP="009850C2">
      <w:pPr>
        <w:pStyle w:val="BodyCopy"/>
        <w:jc w:val="both"/>
        <w:rPr>
          <w:lang w:val="it-IT"/>
        </w:rPr>
      </w:pPr>
    </w:p>
    <w:p w14:paraId="757C91DA" w14:textId="6F1A4991" w:rsidR="009850C2" w:rsidRDefault="00325DDD" w:rsidP="009850C2">
      <w:pPr>
        <w:pStyle w:val="BodyCopy"/>
        <w:jc w:val="both"/>
        <w:rPr>
          <w:lang w:val="it-IT"/>
        </w:rPr>
      </w:pPr>
      <w:r>
        <w:rPr>
          <w:lang w:val="it-IT"/>
        </w:rPr>
        <w:t>Ottimi risultati</w:t>
      </w:r>
      <w:r w:rsidR="00594D70">
        <w:rPr>
          <w:lang w:val="it-IT"/>
        </w:rPr>
        <w:t xml:space="preserve"> per il settore </w:t>
      </w:r>
      <w:r w:rsidR="00594D70" w:rsidRPr="00682943">
        <w:rPr>
          <w:b/>
          <w:bCs/>
          <w:lang w:val="it-IT"/>
        </w:rPr>
        <w:t>Reside</w:t>
      </w:r>
      <w:r w:rsidR="00602006">
        <w:rPr>
          <w:b/>
          <w:bCs/>
          <w:lang w:val="it-IT"/>
        </w:rPr>
        <w:t>nziale</w:t>
      </w:r>
      <w:r w:rsidR="004A0E3A">
        <w:rPr>
          <w:b/>
          <w:bCs/>
          <w:lang w:val="it-IT"/>
        </w:rPr>
        <w:t xml:space="preserve">, </w:t>
      </w:r>
      <w:r>
        <w:rPr>
          <w:lang w:val="it-IT"/>
        </w:rPr>
        <w:t xml:space="preserve">che chiude il trimestre </w:t>
      </w:r>
      <w:r w:rsidR="004A0E3A">
        <w:rPr>
          <w:lang w:val="it-IT"/>
        </w:rPr>
        <w:t xml:space="preserve">con un volume pari </w:t>
      </w:r>
      <w:r w:rsidR="004A0E3A" w:rsidRPr="00E960AD">
        <w:rPr>
          <w:lang w:val="it-IT"/>
        </w:rPr>
        <w:t xml:space="preserve">a </w:t>
      </w:r>
      <w:r w:rsidR="00E960AD" w:rsidRPr="00E960AD">
        <w:rPr>
          <w:lang w:val="it-IT"/>
        </w:rPr>
        <w:t>390</w:t>
      </w:r>
      <w:r w:rsidR="004A0E3A" w:rsidRPr="00E960AD">
        <w:rPr>
          <w:lang w:val="it-IT"/>
        </w:rPr>
        <w:t xml:space="preserve"> milioni</w:t>
      </w:r>
      <w:r w:rsidR="004A0E3A">
        <w:rPr>
          <w:lang w:val="it-IT"/>
        </w:rPr>
        <w:t xml:space="preserve"> di euro investiti e una </w:t>
      </w:r>
      <w:r w:rsidR="004A0E3A" w:rsidRPr="00FD7AD0">
        <w:rPr>
          <w:i/>
          <w:iCs/>
          <w:lang w:val="it-IT"/>
        </w:rPr>
        <w:t>pipeline</w:t>
      </w:r>
      <w:r w:rsidR="004A0E3A">
        <w:rPr>
          <w:lang w:val="it-IT"/>
        </w:rPr>
        <w:t xml:space="preserve"> che</w:t>
      </w:r>
      <w:r w:rsidR="00257DAF">
        <w:rPr>
          <w:lang w:val="it-IT"/>
        </w:rPr>
        <w:t xml:space="preserve"> fa presagire </w:t>
      </w:r>
      <w:r w:rsidR="00A32226">
        <w:rPr>
          <w:lang w:val="it-IT"/>
        </w:rPr>
        <w:t>il superamento del miliardo di transazioni</w:t>
      </w:r>
      <w:r w:rsidR="00257DAF">
        <w:rPr>
          <w:lang w:val="it-IT"/>
        </w:rPr>
        <w:t xml:space="preserve"> entro la fine dell’anno. </w:t>
      </w:r>
      <w:r w:rsidR="007434A7">
        <w:rPr>
          <w:lang w:val="it-IT"/>
        </w:rPr>
        <w:t xml:space="preserve">Tutte le operazioni registrate hanno interessato prodotto </w:t>
      </w:r>
      <w:r w:rsidR="007434A7" w:rsidRPr="00F83689">
        <w:rPr>
          <w:i/>
          <w:iCs/>
          <w:lang w:val="it-IT"/>
        </w:rPr>
        <w:t>value add</w:t>
      </w:r>
      <w:r w:rsidR="007434A7">
        <w:rPr>
          <w:lang w:val="it-IT"/>
        </w:rPr>
        <w:t>, principalmente a Milano</w:t>
      </w:r>
      <w:r w:rsidR="003A1F7A">
        <w:rPr>
          <w:lang w:val="it-IT"/>
        </w:rPr>
        <w:t xml:space="preserve">. La carenza di prodotto con questo profilo di rischio </w:t>
      </w:r>
      <w:r w:rsidR="001908FB">
        <w:rPr>
          <w:lang w:val="it-IT"/>
        </w:rPr>
        <w:t xml:space="preserve">e l’incremento dei prezzi degli asset </w:t>
      </w:r>
      <w:r w:rsidR="003A1F7A">
        <w:rPr>
          <w:lang w:val="it-IT"/>
        </w:rPr>
        <w:t xml:space="preserve">in location centrali nel capoluogo lombardo, stanno però spingendo gli investitori verso </w:t>
      </w:r>
      <w:r w:rsidR="0005113D">
        <w:rPr>
          <w:lang w:val="it-IT"/>
        </w:rPr>
        <w:t>città</w:t>
      </w:r>
      <w:r w:rsidR="003A1F7A">
        <w:rPr>
          <w:lang w:val="it-IT"/>
        </w:rPr>
        <w:t xml:space="preserve"> secondari</w:t>
      </w:r>
      <w:r w:rsidR="0005113D">
        <w:rPr>
          <w:lang w:val="it-IT"/>
        </w:rPr>
        <w:t>e.</w:t>
      </w:r>
      <w:r w:rsidR="001D675C">
        <w:rPr>
          <w:lang w:val="it-IT"/>
        </w:rPr>
        <w:t xml:space="preserve"> </w:t>
      </w:r>
      <w:r w:rsidR="0005113D">
        <w:rPr>
          <w:lang w:val="it-IT"/>
        </w:rPr>
        <w:t>S</w:t>
      </w:r>
      <w:r w:rsidR="001D675C">
        <w:rPr>
          <w:lang w:val="it-IT"/>
        </w:rPr>
        <w:t>i registra infatti, per il residenziale a sviluppo, un grandissimo interesse</w:t>
      </w:r>
      <w:r w:rsidR="0005113D">
        <w:rPr>
          <w:lang w:val="it-IT"/>
        </w:rPr>
        <w:t xml:space="preserve"> anche</w:t>
      </w:r>
      <w:r w:rsidR="001D675C">
        <w:rPr>
          <w:lang w:val="it-IT"/>
        </w:rPr>
        <w:t xml:space="preserve"> per</w:t>
      </w:r>
      <w:r w:rsidR="0005113D">
        <w:rPr>
          <w:lang w:val="it-IT"/>
        </w:rPr>
        <w:t xml:space="preserve"> Roma,</w:t>
      </w:r>
      <w:r w:rsidR="001D675C">
        <w:rPr>
          <w:lang w:val="it-IT"/>
        </w:rPr>
        <w:t xml:space="preserve"> Bologna e Firenze. </w:t>
      </w:r>
    </w:p>
    <w:p w14:paraId="30A20842" w14:textId="00901066" w:rsidR="002A656C" w:rsidRDefault="002A656C" w:rsidP="009850C2">
      <w:pPr>
        <w:pStyle w:val="BodyCopy"/>
        <w:jc w:val="both"/>
        <w:rPr>
          <w:lang w:val="it-IT"/>
        </w:rPr>
      </w:pPr>
      <w:r>
        <w:rPr>
          <w:lang w:val="it-IT"/>
        </w:rPr>
        <w:t>Crescono i prezzi dei prodotti residenziali nuovi in vendita frazionata</w:t>
      </w:r>
      <w:r w:rsidR="005D073F">
        <w:rPr>
          <w:lang w:val="it-IT"/>
        </w:rPr>
        <w:t xml:space="preserve">: il </w:t>
      </w:r>
      <w:r w:rsidR="005D073F" w:rsidRPr="00F83689">
        <w:rPr>
          <w:i/>
          <w:iCs/>
          <w:lang w:val="it-IT"/>
        </w:rPr>
        <w:t>trend</w:t>
      </w:r>
      <w:r w:rsidR="005D073F">
        <w:rPr>
          <w:lang w:val="it-IT"/>
        </w:rPr>
        <w:t xml:space="preserve"> probabilmente proseguirà, anche per far fronte all’incremento dei costi di costruzione, che sta portando a un lieve calo di interesse nei confronti di location particolarmente periferiche</w:t>
      </w:r>
      <w:r w:rsidR="0005113D">
        <w:rPr>
          <w:lang w:val="it-IT"/>
        </w:rPr>
        <w:t xml:space="preserve"> che non sosterrebbero un deciso incremento dei </w:t>
      </w:r>
      <w:r w:rsidR="0005113D" w:rsidRPr="0005113D">
        <w:rPr>
          <w:i/>
          <w:iCs/>
          <w:lang w:val="it-IT"/>
        </w:rPr>
        <w:t>capital values</w:t>
      </w:r>
      <w:r w:rsidR="0005113D">
        <w:rPr>
          <w:lang w:val="it-IT"/>
        </w:rPr>
        <w:t>.</w:t>
      </w:r>
    </w:p>
    <w:p w14:paraId="2EAF31F7" w14:textId="73E087A2" w:rsidR="005D073F" w:rsidRDefault="00F25169" w:rsidP="009850C2">
      <w:pPr>
        <w:pStyle w:val="BodyCopy"/>
        <w:jc w:val="both"/>
        <w:rPr>
          <w:lang w:val="it-IT"/>
        </w:rPr>
      </w:pPr>
      <w:r>
        <w:rPr>
          <w:lang w:val="it-IT"/>
        </w:rPr>
        <w:t xml:space="preserve">Interesse significativo per le operazioni in </w:t>
      </w:r>
      <w:r w:rsidRPr="00F83689">
        <w:rPr>
          <w:i/>
          <w:iCs/>
          <w:lang w:val="it-IT"/>
        </w:rPr>
        <w:t xml:space="preserve">forward </w:t>
      </w:r>
      <w:r w:rsidR="00197D0A">
        <w:rPr>
          <w:i/>
          <w:iCs/>
          <w:lang w:val="it-IT"/>
        </w:rPr>
        <w:t>commitment</w:t>
      </w:r>
      <w:r>
        <w:rPr>
          <w:lang w:val="it-IT"/>
        </w:rPr>
        <w:t xml:space="preserve"> </w:t>
      </w:r>
      <w:r w:rsidR="006C2284">
        <w:rPr>
          <w:lang w:val="it-IT"/>
        </w:rPr>
        <w:t>sia per il Multifamily a Milano sia per lo</w:t>
      </w:r>
      <w:r>
        <w:rPr>
          <w:lang w:val="it-IT"/>
        </w:rPr>
        <w:t xml:space="preserve"> Student Housing, nelle principali città universitarie</w:t>
      </w:r>
      <w:r w:rsidR="00595640">
        <w:rPr>
          <w:lang w:val="it-IT"/>
        </w:rPr>
        <w:t>. La carenza di prodotto Core nel settore Living,</w:t>
      </w:r>
      <w:r w:rsidR="007F7356">
        <w:rPr>
          <w:lang w:val="it-IT"/>
        </w:rPr>
        <w:t xml:space="preserve"> dove l’attenzione degli investitori </w:t>
      </w:r>
      <w:r w:rsidR="00595640">
        <w:rPr>
          <w:lang w:val="it-IT"/>
        </w:rPr>
        <w:t xml:space="preserve">è forte grazie ai rendimenti significativamente più alti rispetto ai mercati più consolidati a livello europeo, </w:t>
      </w:r>
      <w:r w:rsidR="007F7356">
        <w:rPr>
          <w:lang w:val="it-IT"/>
        </w:rPr>
        <w:t xml:space="preserve">inizia ad applicare pressioni al ribasso </w:t>
      </w:r>
      <w:r w:rsidR="00595640">
        <w:rPr>
          <w:lang w:val="it-IT"/>
        </w:rPr>
        <w:t xml:space="preserve">sugli </w:t>
      </w:r>
      <w:r w:rsidR="00595640" w:rsidRPr="00595640">
        <w:rPr>
          <w:i/>
          <w:iCs/>
          <w:lang w:val="it-IT"/>
        </w:rPr>
        <w:t>yield</w:t>
      </w:r>
      <w:r w:rsidR="007F7356">
        <w:rPr>
          <w:lang w:val="it-IT"/>
        </w:rPr>
        <w:t xml:space="preserve">. </w:t>
      </w:r>
    </w:p>
    <w:p w14:paraId="5AF64EDB" w14:textId="77777777" w:rsidR="004A0E3A" w:rsidRPr="004A0E3A" w:rsidRDefault="004A0E3A" w:rsidP="009850C2">
      <w:pPr>
        <w:pStyle w:val="BodyCopy"/>
        <w:jc w:val="both"/>
        <w:rPr>
          <w:lang w:val="it-IT"/>
        </w:rPr>
      </w:pPr>
    </w:p>
    <w:p w14:paraId="78695D51" w14:textId="3264E62F" w:rsidR="00A345A7" w:rsidRDefault="00853006" w:rsidP="009850C2">
      <w:pPr>
        <w:pStyle w:val="BodyCopy"/>
        <w:jc w:val="both"/>
        <w:rPr>
          <w:lang w:val="it-IT"/>
        </w:rPr>
      </w:pPr>
      <w:r>
        <w:rPr>
          <w:lang w:val="it-IT"/>
        </w:rPr>
        <w:t xml:space="preserve">Buone le performance anche </w:t>
      </w:r>
      <w:r w:rsidR="009850C2">
        <w:rPr>
          <w:lang w:val="it-IT"/>
        </w:rPr>
        <w:t xml:space="preserve">per il settore </w:t>
      </w:r>
      <w:r w:rsidR="009850C2" w:rsidRPr="009850C2">
        <w:rPr>
          <w:b/>
          <w:bCs/>
          <w:lang w:val="it-IT"/>
        </w:rPr>
        <w:t>Alternative</w:t>
      </w:r>
      <w:r w:rsidR="009850C2">
        <w:rPr>
          <w:lang w:val="it-IT"/>
        </w:rPr>
        <w:t>,</w:t>
      </w:r>
      <w:r>
        <w:rPr>
          <w:lang w:val="it-IT"/>
        </w:rPr>
        <w:t xml:space="preserve"> </w:t>
      </w:r>
      <w:r w:rsidR="00CE5078">
        <w:rPr>
          <w:lang w:val="it-IT"/>
        </w:rPr>
        <w:t xml:space="preserve">anche se in lieve rallentamento rispetto ai volumi dello scorso anno, con un totale di 147 milioni di euro investiti. L’incidenza percentuale resta non lontana dalla media quinquennale, nonostante il volume record di questo quarter, e le prospettive per il 2022 sono comunque di crescita, grazie a una significativa </w:t>
      </w:r>
      <w:r w:rsidR="00CE5078" w:rsidRPr="00CE5078">
        <w:rPr>
          <w:i/>
          <w:iCs/>
          <w:lang w:val="it-IT"/>
        </w:rPr>
        <w:t>pipeline</w:t>
      </w:r>
      <w:r w:rsidR="00CE5078">
        <w:rPr>
          <w:lang w:val="it-IT"/>
        </w:rPr>
        <w:t xml:space="preserve"> trasversale a tutte le asset class alternative. </w:t>
      </w:r>
      <w:r w:rsidR="004B7378">
        <w:rPr>
          <w:lang w:val="it-IT"/>
        </w:rPr>
        <w:t xml:space="preserve">Le operazioni hanno interessato tutte le asset class (infrastrutture di telecomunicazione, parcheggi, </w:t>
      </w:r>
      <w:r w:rsidR="004B7378" w:rsidRPr="003D0243">
        <w:rPr>
          <w:i/>
          <w:iCs/>
          <w:lang w:val="it-IT"/>
        </w:rPr>
        <w:t>healthcare</w:t>
      </w:r>
      <w:r w:rsidR="004B7378">
        <w:rPr>
          <w:lang w:val="it-IT"/>
        </w:rPr>
        <w:t xml:space="preserve">) a eccezione </w:t>
      </w:r>
      <w:r w:rsidR="00F85C00">
        <w:rPr>
          <w:lang w:val="it-IT"/>
        </w:rPr>
        <w:t xml:space="preserve">dei Data Center, ma il trimestre ha visto l’acquisizione di terreni </w:t>
      </w:r>
      <w:r w:rsidR="002622C8">
        <w:rPr>
          <w:lang w:val="it-IT"/>
        </w:rPr>
        <w:t xml:space="preserve">da parte di vari operatori e </w:t>
      </w:r>
      <w:r w:rsidR="00F85C00">
        <w:rPr>
          <w:lang w:val="it-IT"/>
        </w:rPr>
        <w:t>che porteranno alla costruzione di prodotto di questa tipologia n</w:t>
      </w:r>
      <w:r w:rsidR="006B6811">
        <w:rPr>
          <w:lang w:val="it-IT"/>
        </w:rPr>
        <w:t xml:space="preserve">el medio termine. </w:t>
      </w:r>
    </w:p>
    <w:p w14:paraId="04CED8BF" w14:textId="3D5030C7" w:rsidR="005E55C5" w:rsidRDefault="006B6811" w:rsidP="009850C2">
      <w:pPr>
        <w:pStyle w:val="BodyCopy"/>
        <w:jc w:val="both"/>
        <w:rPr>
          <w:lang w:val="it-IT"/>
        </w:rPr>
      </w:pPr>
      <w:r>
        <w:rPr>
          <w:lang w:val="it-IT"/>
        </w:rPr>
        <w:lastRenderedPageBreak/>
        <w:t>Nota di merito per l’</w:t>
      </w:r>
      <w:r w:rsidRPr="003D0243">
        <w:rPr>
          <w:i/>
          <w:iCs/>
          <w:lang w:val="it-IT"/>
        </w:rPr>
        <w:t>healthcare</w:t>
      </w:r>
      <w:r>
        <w:rPr>
          <w:lang w:val="it-IT"/>
        </w:rPr>
        <w:t xml:space="preserve">, </w:t>
      </w:r>
      <w:r w:rsidR="00033E3C">
        <w:rPr>
          <w:lang w:val="it-IT"/>
        </w:rPr>
        <w:t>protagonista tra le asset class alternative in questo trimestre</w:t>
      </w:r>
      <w:r w:rsidR="00A345A7">
        <w:rPr>
          <w:lang w:val="it-IT"/>
        </w:rPr>
        <w:t>.</w:t>
      </w:r>
      <w:r w:rsidR="00033E3C">
        <w:rPr>
          <w:lang w:val="it-IT"/>
        </w:rPr>
        <w:t xml:space="preserve"> </w:t>
      </w:r>
      <w:r w:rsidR="00A345A7">
        <w:rPr>
          <w:lang w:val="it-IT"/>
        </w:rPr>
        <w:t>O</w:t>
      </w:r>
      <w:r w:rsidR="00033E3C">
        <w:rPr>
          <w:lang w:val="it-IT"/>
        </w:rPr>
        <w:t>ltre al volume già registrato, l’asset class ha una pipeline di consegna non indifferente e raccoglie no</w:t>
      </w:r>
      <w:r w:rsidR="00A345A7">
        <w:rPr>
          <w:lang w:val="it-IT"/>
        </w:rPr>
        <w:t>tevole interesse, con un cambiamento nella tipologia di prodotto ricercato:</w:t>
      </w:r>
      <w:r w:rsidR="007F7356">
        <w:rPr>
          <w:lang w:val="it-IT"/>
        </w:rPr>
        <w:t xml:space="preserve"> rispetto al passato, quando le operazioni di investimento interessavano soprattutto RSA</w:t>
      </w:r>
      <w:r w:rsidR="002622C8">
        <w:rPr>
          <w:lang w:val="it-IT"/>
        </w:rPr>
        <w:t xml:space="preserve">, anche con strutture di </w:t>
      </w:r>
      <w:r w:rsidR="007F7356" w:rsidRPr="007F7356">
        <w:rPr>
          <w:i/>
          <w:iCs/>
          <w:lang w:val="it-IT"/>
        </w:rPr>
        <w:t>forward purchase</w:t>
      </w:r>
      <w:r w:rsidR="007F7356">
        <w:rPr>
          <w:lang w:val="it-IT"/>
        </w:rPr>
        <w:t xml:space="preserve">, oggi si osserva una forte attrazione nei confronti di Standing Investment su cliniche e ospedali. </w:t>
      </w:r>
    </w:p>
    <w:p w14:paraId="042361C1" w14:textId="5C69C98E" w:rsidR="00FC272D" w:rsidRDefault="00FC272D" w:rsidP="009850C2">
      <w:pPr>
        <w:pStyle w:val="BodyCopy"/>
        <w:jc w:val="both"/>
        <w:rPr>
          <w:lang w:val="it-IT"/>
        </w:rPr>
      </w:pPr>
    </w:p>
    <w:p w14:paraId="60C4B735" w14:textId="3BF3A4DC" w:rsidR="005E55C5" w:rsidRDefault="00907BAE" w:rsidP="008B163A">
      <w:pPr>
        <w:pStyle w:val="BodyCopy"/>
        <w:jc w:val="both"/>
        <w:rPr>
          <w:i/>
          <w:iCs/>
          <w:lang w:val="it-IT"/>
        </w:rPr>
      </w:pPr>
      <w:r>
        <w:rPr>
          <w:lang w:val="it-IT"/>
        </w:rPr>
        <w:t xml:space="preserve">Sul fronte NPL, </w:t>
      </w:r>
      <w:r w:rsidR="00205142">
        <w:rPr>
          <w:lang w:val="it-IT"/>
        </w:rPr>
        <w:t>il volume registrato nel trimestre è superiore a quello</w:t>
      </w:r>
      <w:r w:rsidR="00BA35CA">
        <w:rPr>
          <w:lang w:val="it-IT"/>
        </w:rPr>
        <w:t xml:space="preserve"> raggiunto nello stesso periodo del 2021</w:t>
      </w:r>
      <w:r w:rsidR="002622C8">
        <w:rPr>
          <w:lang w:val="it-IT"/>
        </w:rPr>
        <w:t>con un totale transato oltre i 2.5 miliardi (GBV)</w:t>
      </w:r>
      <w:r w:rsidR="00BA35CA">
        <w:rPr>
          <w:lang w:val="it-IT"/>
        </w:rPr>
        <w:t>, ma</w:t>
      </w:r>
      <w:r w:rsidR="002622C8">
        <w:rPr>
          <w:lang w:val="it-IT"/>
        </w:rPr>
        <w:t xml:space="preserve"> </w:t>
      </w:r>
      <w:r w:rsidR="00BA35CA">
        <w:rPr>
          <w:lang w:val="it-IT"/>
        </w:rPr>
        <w:t xml:space="preserve">il mercato </w:t>
      </w:r>
      <w:r w:rsidR="002622C8">
        <w:rPr>
          <w:lang w:val="it-IT"/>
        </w:rPr>
        <w:t xml:space="preserve">risulta comunque essere </w:t>
      </w:r>
      <w:r w:rsidR="00BA35CA">
        <w:rPr>
          <w:lang w:val="it-IT"/>
        </w:rPr>
        <w:t xml:space="preserve">attualmente nella fase finale del suo ciclo. Bisognerà attendere gli effetti </w:t>
      </w:r>
      <w:r w:rsidR="002622C8">
        <w:rPr>
          <w:lang w:val="it-IT"/>
        </w:rPr>
        <w:t xml:space="preserve">concreti relativi alla </w:t>
      </w:r>
      <w:r w:rsidR="00BA35CA">
        <w:rPr>
          <w:lang w:val="it-IT"/>
        </w:rPr>
        <w:t>fine delle moratorie sui bilanci delle banche per assistere all’inizio di una nuova fase di cessioni</w:t>
      </w:r>
      <w:r w:rsidR="002622C8">
        <w:rPr>
          <w:lang w:val="it-IT"/>
        </w:rPr>
        <w:t xml:space="preserve"> che, al momento, viene comunque supportata dal mercato secondario</w:t>
      </w:r>
      <w:r w:rsidR="008B163A">
        <w:rPr>
          <w:lang w:val="it-IT"/>
        </w:rPr>
        <w:t>,</w:t>
      </w:r>
      <w:r w:rsidR="002622C8">
        <w:rPr>
          <w:lang w:val="it-IT"/>
        </w:rPr>
        <w:t xml:space="preserve"> che in questo quarter ha coperto c</w:t>
      </w:r>
      <w:r w:rsidR="008B163A">
        <w:rPr>
          <w:lang w:val="it-IT"/>
        </w:rPr>
        <w:t>irca</w:t>
      </w:r>
      <w:r w:rsidR="002622C8">
        <w:rPr>
          <w:lang w:val="it-IT"/>
        </w:rPr>
        <w:t xml:space="preserve"> il 70% dei volumi con una singola transazione</w:t>
      </w:r>
      <w:r w:rsidR="008C1858">
        <w:rPr>
          <w:lang w:val="it-IT"/>
        </w:rPr>
        <w:t>.</w:t>
      </w:r>
    </w:p>
    <w:p w14:paraId="2E7E3C31" w14:textId="0B97B5CF" w:rsidR="00A14CAB" w:rsidRDefault="00A14CAB" w:rsidP="00E02087">
      <w:pPr>
        <w:pStyle w:val="BodyCopy"/>
        <w:rPr>
          <w:i/>
          <w:iCs/>
          <w:lang w:val="it-IT"/>
        </w:rPr>
      </w:pPr>
    </w:p>
    <w:p w14:paraId="56268164" w14:textId="4F33383C" w:rsidR="007A1C9B" w:rsidRDefault="007A1C9B" w:rsidP="00E02087">
      <w:pPr>
        <w:pStyle w:val="BodyCopy"/>
        <w:rPr>
          <w:i/>
          <w:iCs/>
          <w:lang w:val="it-IT"/>
        </w:rPr>
      </w:pPr>
      <w:r>
        <w:rPr>
          <w:i/>
          <w:iCs/>
          <w:noProof/>
          <w:lang w:val="it-IT"/>
        </w:rPr>
        <w:drawing>
          <wp:inline distT="0" distB="0" distL="0" distR="0" wp14:anchorId="5F88E6F1" wp14:editId="5591A351">
            <wp:extent cx="6385560" cy="359664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5560" cy="3596640"/>
                    </a:xfrm>
                    <a:prstGeom prst="rect">
                      <a:avLst/>
                    </a:prstGeom>
                    <a:noFill/>
                    <a:ln>
                      <a:noFill/>
                    </a:ln>
                  </pic:spPr>
                </pic:pic>
              </a:graphicData>
            </a:graphic>
          </wp:inline>
        </w:drawing>
      </w:r>
    </w:p>
    <w:p w14:paraId="085EC5BD" w14:textId="2C3AA47A" w:rsidR="00C750D7" w:rsidRDefault="00C750D7" w:rsidP="00E02087">
      <w:pPr>
        <w:pStyle w:val="BodyCopy"/>
        <w:rPr>
          <w:i/>
          <w:iCs/>
          <w:lang w:val="it-IT"/>
        </w:rPr>
      </w:pPr>
      <w:r w:rsidRPr="00C750D7">
        <w:rPr>
          <w:i/>
          <w:iCs/>
          <w:lang w:val="it-IT"/>
        </w:rPr>
        <w:t>Dati elaborati da CBRE Italy Research.</w:t>
      </w:r>
    </w:p>
    <w:p w14:paraId="0445388E" w14:textId="6E9749B1" w:rsidR="00C87496" w:rsidRDefault="00C87496" w:rsidP="00E02087">
      <w:pPr>
        <w:pStyle w:val="BodyCopy"/>
        <w:rPr>
          <w:i/>
          <w:iCs/>
          <w:lang w:val="it-IT"/>
        </w:rPr>
      </w:pPr>
    </w:p>
    <w:p w14:paraId="3CF30EA7" w14:textId="75B552C1" w:rsidR="00C87496" w:rsidRPr="005E55C5" w:rsidRDefault="00C87496" w:rsidP="00E02087">
      <w:pPr>
        <w:pStyle w:val="BodyCopy"/>
        <w:rPr>
          <w:i/>
          <w:iCs/>
          <w:lang w:val="it-IT"/>
        </w:rPr>
      </w:pPr>
    </w:p>
    <w:p w14:paraId="63C940AF" w14:textId="77777777" w:rsidR="00A14CAB" w:rsidRPr="00DD5803" w:rsidRDefault="00A14CAB" w:rsidP="007E236C">
      <w:pPr>
        <w:pStyle w:val="Boilerplate"/>
        <w:rPr>
          <w:u w:val="single"/>
          <w:lang w:val="it-IT"/>
        </w:rPr>
      </w:pPr>
    </w:p>
    <w:p w14:paraId="777720B9" w14:textId="77777777" w:rsidR="00A14CAB" w:rsidRPr="00DD5803" w:rsidRDefault="00A14CAB" w:rsidP="007E236C">
      <w:pPr>
        <w:pStyle w:val="Boilerplate"/>
        <w:rPr>
          <w:u w:val="single"/>
          <w:lang w:val="it-IT"/>
        </w:rPr>
      </w:pPr>
    </w:p>
    <w:p w14:paraId="42BBA6EA" w14:textId="3AC37548" w:rsidR="00685808" w:rsidRPr="00325DDD" w:rsidRDefault="00685808" w:rsidP="007E236C">
      <w:pPr>
        <w:pStyle w:val="Boilerplate"/>
        <w:rPr>
          <w:u w:val="single"/>
        </w:rPr>
      </w:pPr>
      <w:r w:rsidRPr="00325DDD">
        <w:rPr>
          <w:u w:val="single"/>
        </w:rPr>
        <w:t>About</w:t>
      </w:r>
      <w:r w:rsidR="00E30CD4" w:rsidRPr="00325DDD">
        <w:rPr>
          <w:u w:val="single"/>
        </w:rPr>
        <w:t xml:space="preserve"> </w:t>
      </w:r>
      <w:r w:rsidRPr="00325DDD">
        <w:rPr>
          <w:u w:val="single"/>
        </w:rPr>
        <w:t>CBRE</w:t>
      </w:r>
      <w:r w:rsidR="00E30CD4" w:rsidRPr="00325DDD">
        <w:rPr>
          <w:u w:val="single"/>
        </w:rPr>
        <w:t xml:space="preserve"> </w:t>
      </w:r>
      <w:r w:rsidRPr="00325DDD">
        <w:rPr>
          <w:u w:val="single"/>
        </w:rPr>
        <w:t>Group,</w:t>
      </w:r>
      <w:r w:rsidR="00E30CD4" w:rsidRPr="00325DDD">
        <w:rPr>
          <w:u w:val="single"/>
        </w:rPr>
        <w:t xml:space="preserve"> </w:t>
      </w:r>
      <w:r w:rsidRPr="00325DDD">
        <w:rPr>
          <w:u w:val="single"/>
        </w:rPr>
        <w:t>Inc.</w:t>
      </w:r>
    </w:p>
    <w:p w14:paraId="33FF2E35" w14:textId="5B125B6E" w:rsidR="00A90A3A" w:rsidRPr="00061712" w:rsidRDefault="00061712" w:rsidP="00061712">
      <w:pPr>
        <w:pStyle w:val="Boilerplate"/>
        <w:rPr>
          <w:rFonts w:ascii="Futura Lt BT Light" w:hAnsi="Futura Lt BT Light"/>
          <w:lang w:val="it-IT"/>
        </w:rPr>
      </w:pPr>
      <w:r w:rsidRPr="00325DDD">
        <w:t xml:space="preserve">CBRE Group, Inc. </w:t>
      </w:r>
      <w:r w:rsidRPr="00061712">
        <w:rPr>
          <w:lang w:val="it-IT"/>
        </w:rPr>
        <w:t>(NYSE:CBG), società Fortune 500 e S&amp;P 500 con sede a Dallas, è la più grande società al mondo di consulenza immobiliare (in base al fatturato 202</w:t>
      </w:r>
      <w:r w:rsidR="000F1EDC">
        <w:rPr>
          <w:lang w:val="it-IT"/>
        </w:rPr>
        <w:t>1</w:t>
      </w:r>
      <w:r w:rsidRPr="00061712">
        <w:rPr>
          <w:lang w:val="it-IT"/>
        </w:rPr>
        <w:t>). La società impiega oltre 100.000 dipendenti (escludendo le consociate) e fornisce servizi a proprietari di immobili, investitori nel settore immobiliare attraverso circa 530 sedi in tutto il mondo (escludendo le consociate). CBRE offre una vasta gamma di servizi integrati, tra cui consulenza strategica, vendita e locazione di proprietà immobiliari; servizi aziendali; gestione di proprietà, facilities e project management; finanziamenti, stime e valutazioni; servizi di sviluppo; gestione di investimenti; ricerca e consulenze. Per informazioni, visita il nostro sito web www.cbre.it o www.cbre.com.</w:t>
      </w:r>
    </w:p>
    <w:sectPr w:rsidR="00A90A3A" w:rsidRPr="00061712" w:rsidSect="00E01C37">
      <w:headerReference w:type="default" r:id="rId12"/>
      <w:headerReference w:type="first" r:id="rId13"/>
      <w:pgSz w:w="12240" w:h="15840"/>
      <w:pgMar w:top="2430" w:right="1080" w:bottom="720" w:left="1080" w:header="18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23719" w14:textId="77777777" w:rsidR="00036D4F" w:rsidRDefault="00036D4F" w:rsidP="00C63036">
      <w:r>
        <w:separator/>
      </w:r>
    </w:p>
  </w:endnote>
  <w:endnote w:type="continuationSeparator" w:id="0">
    <w:p w14:paraId="5F497B64" w14:textId="77777777" w:rsidR="00036D4F" w:rsidRDefault="00036D4F" w:rsidP="00C6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utura Bk BT">
    <w:altName w:val="Segoe UI"/>
    <w:panose1 w:val="020B0502020204020303"/>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e">
    <w:altName w:val="Calibre"/>
    <w:panose1 w:val="020B0503030202060203"/>
    <w:charset w:val="00"/>
    <w:family w:val="swiss"/>
    <w:notTrueType/>
    <w:pitch w:val="variable"/>
    <w:sig w:usb0="00000007" w:usb1="00000000" w:usb2="00000000" w:usb3="00000000" w:csb0="00000093" w:csb1="00000000"/>
  </w:font>
  <w:font w:name="Futura Lt BT Light">
    <w:altName w:val="Century Gothic"/>
    <w:panose1 w:val="020B0402020204020303"/>
    <w:charset w:val="00"/>
    <w:family w:val="auto"/>
    <w:pitch w:val="variable"/>
    <w:sig w:usb0="800000AF" w:usb1="1000204A" w:usb2="00000000" w:usb3="00000000" w:csb0="0000001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09A02" w14:textId="77777777" w:rsidR="00036D4F" w:rsidRDefault="00036D4F" w:rsidP="00C63036">
      <w:r>
        <w:separator/>
      </w:r>
    </w:p>
  </w:footnote>
  <w:footnote w:type="continuationSeparator" w:id="0">
    <w:p w14:paraId="06BA9D71" w14:textId="77777777" w:rsidR="00036D4F" w:rsidRDefault="00036D4F" w:rsidP="00C63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22FF" w14:textId="116546AD" w:rsidR="00E30CD4" w:rsidRDefault="00061712" w:rsidP="0094537E">
    <w:pPr>
      <w:pStyle w:val="Intestazione"/>
      <w:jc w:val="right"/>
    </w:pPr>
    <w:r>
      <w:rPr>
        <w:rFonts w:ascii="Calibre" w:hAnsi="Calibre"/>
        <w:color w:val="003D30" w:themeColor="accent6"/>
        <w:sz w:val="16"/>
      </w:rPr>
      <w:t xml:space="preserve">Comunicato Stampa </w:t>
    </w:r>
    <w:r w:rsidR="00E30CD4" w:rsidRPr="0094537E">
      <w:rPr>
        <w:rFonts w:ascii="Calibre" w:hAnsi="Calibre"/>
        <w:color w:val="003D30" w:themeColor="accent6"/>
        <w:sz w:val="16"/>
      </w:rPr>
      <w:t>CBRE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0BD8" w14:textId="386A70F8" w:rsidR="00E30CD4" w:rsidRDefault="009850C2">
    <w:pPr>
      <w:pStyle w:val="Intestazione"/>
    </w:pPr>
    <w:r w:rsidRPr="00F51DB7">
      <w:rPr>
        <w:noProof/>
      </w:rPr>
      <mc:AlternateContent>
        <mc:Choice Requires="wps">
          <w:drawing>
            <wp:anchor distT="0" distB="0" distL="114300" distR="114300" simplePos="0" relativeHeight="251655168" behindDoc="0" locked="0" layoutInCell="1" allowOverlap="1" wp14:anchorId="6FE689F4" wp14:editId="67B2895A">
              <wp:simplePos x="0" y="0"/>
              <wp:positionH relativeFrom="column">
                <wp:posOffset>-7620</wp:posOffset>
              </wp:positionH>
              <wp:positionV relativeFrom="paragraph">
                <wp:posOffset>-685800</wp:posOffset>
              </wp:positionV>
              <wp:extent cx="4443730" cy="746760"/>
              <wp:effectExtent l="0" t="0" r="13970" b="15240"/>
              <wp:wrapNone/>
              <wp:docPr id="3" name="Text Box 3"/>
              <wp:cNvGraphicFramePr/>
              <a:graphic xmlns:a="http://schemas.openxmlformats.org/drawingml/2006/main">
                <a:graphicData uri="http://schemas.microsoft.com/office/word/2010/wordprocessingShape">
                  <wps:wsp>
                    <wps:cNvSpPr txBox="1"/>
                    <wps:spPr>
                      <a:xfrm>
                        <a:off x="0" y="0"/>
                        <a:ext cx="4443730" cy="746760"/>
                      </a:xfrm>
                      <a:prstGeom prst="rect">
                        <a:avLst/>
                      </a:prstGeom>
                      <a:noFill/>
                      <a:ln w="6350">
                        <a:noFill/>
                      </a:ln>
                    </wps:spPr>
                    <wps:txbx>
                      <w:txbxContent>
                        <w:p w14:paraId="1996209B" w14:textId="4754DC36" w:rsidR="00E30CD4" w:rsidRPr="00F413B0" w:rsidRDefault="009D6381" w:rsidP="00F51DB7">
                          <w:pPr>
                            <w:rPr>
                              <w:b/>
                              <w:bCs/>
                              <w:color w:val="003F2D"/>
                              <w:spacing w:val="-20"/>
                              <w:sz w:val="80"/>
                              <w:szCs w:val="80"/>
                            </w:rPr>
                          </w:pPr>
                          <w:r>
                            <w:rPr>
                              <w:b/>
                              <w:bCs/>
                              <w:color w:val="003F2D"/>
                              <w:spacing w:val="-20"/>
                              <w:sz w:val="80"/>
                              <w:szCs w:val="80"/>
                            </w:rPr>
                            <w:t>Comunicato</w:t>
                          </w:r>
                          <w:r w:rsidR="00061712">
                            <w:rPr>
                              <w:b/>
                              <w:bCs/>
                              <w:color w:val="003F2D"/>
                              <w:spacing w:val="-20"/>
                              <w:sz w:val="80"/>
                              <w:szCs w:val="80"/>
                            </w:rPr>
                            <w:t xml:space="preserve"> Stampa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689F4" id="_x0000_t202" coordsize="21600,21600" o:spt="202" path="m,l,21600r21600,l21600,xe">
              <v:stroke joinstyle="miter"/>
              <v:path gradientshapeok="t" o:connecttype="rect"/>
            </v:shapetype>
            <v:shape id="Text Box 3" o:spid="_x0000_s1026" type="#_x0000_t202" style="position:absolute;margin-left:-.6pt;margin-top:-54pt;width:349.9pt;height:5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" filled="f" stroked="f" strokeweight=".5pt">
              <v:textbox inset="0,0,0,0">
                <w:txbxContent>
                  <w:p w14:paraId="1996209B" w14:textId="4754DC36" w:rsidR="00E30CD4" w:rsidRPr="00F413B0" w:rsidRDefault="009D6381" w:rsidP="00F51DB7">
                    <w:pPr>
                      <w:rPr>
                        <w:b/>
                        <w:bCs/>
                        <w:color w:val="003F2D"/>
                        <w:spacing w:val="-20"/>
                        <w:sz w:val="80"/>
                        <w:szCs w:val="80"/>
                      </w:rPr>
                    </w:pPr>
                    <w:proofErr w:type="spellStart"/>
                    <w:r>
                      <w:rPr>
                        <w:b/>
                        <w:bCs/>
                        <w:color w:val="003F2D"/>
                        <w:spacing w:val="-20"/>
                        <w:sz w:val="80"/>
                        <w:szCs w:val="80"/>
                      </w:rPr>
                      <w:t>Comunicato</w:t>
                    </w:r>
                    <w:proofErr w:type="spellEnd"/>
                    <w:r w:rsidR="00061712">
                      <w:rPr>
                        <w:b/>
                        <w:bCs/>
                        <w:color w:val="003F2D"/>
                        <w:spacing w:val="-20"/>
                        <w:sz w:val="80"/>
                        <w:szCs w:val="80"/>
                      </w:rPr>
                      <w:t xml:space="preserve"> Stampa</w:t>
                    </w:r>
                  </w:p>
                </w:txbxContent>
              </v:textbox>
            </v:shape>
          </w:pict>
        </mc:Fallback>
      </mc:AlternateContent>
    </w:r>
    <w:r w:rsidR="00E30CD4" w:rsidRPr="00F51DB7">
      <w:rPr>
        <w:noProof/>
      </w:rPr>
      <mc:AlternateContent>
        <mc:Choice Requires="wps">
          <w:drawing>
            <wp:anchor distT="0" distB="0" distL="114300" distR="114300" simplePos="0" relativeHeight="251660288" behindDoc="0" locked="0" layoutInCell="1" allowOverlap="1" wp14:anchorId="50270BC5" wp14:editId="04FB6C92">
              <wp:simplePos x="0" y="0"/>
              <wp:positionH relativeFrom="margin">
                <wp:posOffset>-9525</wp:posOffset>
              </wp:positionH>
              <wp:positionV relativeFrom="paragraph">
                <wp:posOffset>95885</wp:posOffset>
              </wp:positionV>
              <wp:extent cx="64008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w="28575">
                        <a:solidFill>
                          <a:srgbClr val="003F2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64C29"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7.55pt" to="503.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" strokecolor="#003f2d" strokeweight="2.25pt">
              <v:stroke joinstyle="miter"/>
              <w10:wrap anchorx="margin"/>
            </v:line>
          </w:pict>
        </mc:Fallback>
      </mc:AlternateContent>
    </w:r>
    <w:r w:rsidR="00E30CD4" w:rsidRPr="00F51DB7">
      <w:rPr>
        <w:noProof/>
      </w:rPr>
      <w:drawing>
        <wp:anchor distT="0" distB="0" distL="114300" distR="114300" simplePos="0" relativeHeight="251664384" behindDoc="1" locked="0" layoutInCell="1" allowOverlap="1" wp14:anchorId="3C80D503" wp14:editId="241316A3">
          <wp:simplePos x="0" y="0"/>
          <wp:positionH relativeFrom="column">
            <wp:posOffset>5358130</wp:posOffset>
          </wp:positionH>
          <wp:positionV relativeFrom="paragraph">
            <wp:posOffset>-454025</wp:posOffset>
          </wp:positionV>
          <wp:extent cx="1030226" cy="259081"/>
          <wp:effectExtent l="0" t="0" r="0" b="7620"/>
          <wp:wrapTight wrapText="bothSides">
            <wp:wrapPolygon edited="0">
              <wp:start x="400" y="0"/>
              <wp:lineTo x="0" y="4765"/>
              <wp:lineTo x="0" y="17471"/>
              <wp:lineTo x="400" y="20647"/>
              <wp:lineTo x="21174" y="20647"/>
              <wp:lineTo x="21174" y="0"/>
              <wp:lineTo x="400" y="0"/>
            </wp:wrapPolygon>
          </wp:wrapTight>
          <wp:docPr id="48" name="Picture 4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226" cy="25908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201F9"/>
    <w:multiLevelType w:val="hybridMultilevel"/>
    <w:tmpl w:val="A104B0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712"/>
    <w:rsid w:val="00000A62"/>
    <w:rsid w:val="00001C20"/>
    <w:rsid w:val="000031DE"/>
    <w:rsid w:val="000050D1"/>
    <w:rsid w:val="000153EB"/>
    <w:rsid w:val="0001682B"/>
    <w:rsid w:val="00021081"/>
    <w:rsid w:val="00021788"/>
    <w:rsid w:val="000235D1"/>
    <w:rsid w:val="000238E1"/>
    <w:rsid w:val="00023AF8"/>
    <w:rsid w:val="00023F46"/>
    <w:rsid w:val="00025E27"/>
    <w:rsid w:val="000335ED"/>
    <w:rsid w:val="00033E3C"/>
    <w:rsid w:val="000360B5"/>
    <w:rsid w:val="00036D4F"/>
    <w:rsid w:val="00043C5A"/>
    <w:rsid w:val="000445E4"/>
    <w:rsid w:val="00047B81"/>
    <w:rsid w:val="00047E2A"/>
    <w:rsid w:val="0005113D"/>
    <w:rsid w:val="0006008F"/>
    <w:rsid w:val="00061712"/>
    <w:rsid w:val="0006394F"/>
    <w:rsid w:val="00064B63"/>
    <w:rsid w:val="000674A5"/>
    <w:rsid w:val="00076149"/>
    <w:rsid w:val="00090654"/>
    <w:rsid w:val="00093D49"/>
    <w:rsid w:val="00093EF0"/>
    <w:rsid w:val="00094D1A"/>
    <w:rsid w:val="000A1675"/>
    <w:rsid w:val="000A542D"/>
    <w:rsid w:val="000B569E"/>
    <w:rsid w:val="000C09BD"/>
    <w:rsid w:val="000C6A5F"/>
    <w:rsid w:val="000C752F"/>
    <w:rsid w:val="000D3A2D"/>
    <w:rsid w:val="000E1006"/>
    <w:rsid w:val="000E1740"/>
    <w:rsid w:val="000E3EC9"/>
    <w:rsid w:val="000F1EDC"/>
    <w:rsid w:val="000F3F09"/>
    <w:rsid w:val="00131038"/>
    <w:rsid w:val="001356EF"/>
    <w:rsid w:val="00135783"/>
    <w:rsid w:val="00137981"/>
    <w:rsid w:val="00140E0A"/>
    <w:rsid w:val="001432BA"/>
    <w:rsid w:val="00144321"/>
    <w:rsid w:val="001501CE"/>
    <w:rsid w:val="00153B4F"/>
    <w:rsid w:val="001579B2"/>
    <w:rsid w:val="00163D91"/>
    <w:rsid w:val="00165D9B"/>
    <w:rsid w:val="00166301"/>
    <w:rsid w:val="00174CB9"/>
    <w:rsid w:val="001755CC"/>
    <w:rsid w:val="0018047F"/>
    <w:rsid w:val="00182821"/>
    <w:rsid w:val="001908FB"/>
    <w:rsid w:val="00195A94"/>
    <w:rsid w:val="00197D0A"/>
    <w:rsid w:val="001D3E3E"/>
    <w:rsid w:val="001D548D"/>
    <w:rsid w:val="001D6537"/>
    <w:rsid w:val="001D675C"/>
    <w:rsid w:val="001E581C"/>
    <w:rsid w:val="001E7C7F"/>
    <w:rsid w:val="001F30CF"/>
    <w:rsid w:val="001F3161"/>
    <w:rsid w:val="00201425"/>
    <w:rsid w:val="00205142"/>
    <w:rsid w:val="00212525"/>
    <w:rsid w:val="00212821"/>
    <w:rsid w:val="002135B3"/>
    <w:rsid w:val="00213E65"/>
    <w:rsid w:val="0021508A"/>
    <w:rsid w:val="00221A54"/>
    <w:rsid w:val="002222EC"/>
    <w:rsid w:val="0023018D"/>
    <w:rsid w:val="00232B20"/>
    <w:rsid w:val="0023547E"/>
    <w:rsid w:val="002362DA"/>
    <w:rsid w:val="00236945"/>
    <w:rsid w:val="00240737"/>
    <w:rsid w:val="00251AE6"/>
    <w:rsid w:val="00257DAF"/>
    <w:rsid w:val="0026110C"/>
    <w:rsid w:val="002622C8"/>
    <w:rsid w:val="00262BA0"/>
    <w:rsid w:val="00267299"/>
    <w:rsid w:val="0027151D"/>
    <w:rsid w:val="00272108"/>
    <w:rsid w:val="00272F5E"/>
    <w:rsid w:val="00273913"/>
    <w:rsid w:val="002745BD"/>
    <w:rsid w:val="00274A5B"/>
    <w:rsid w:val="00277B68"/>
    <w:rsid w:val="00280EF6"/>
    <w:rsid w:val="002839E8"/>
    <w:rsid w:val="002841B8"/>
    <w:rsid w:val="00286E16"/>
    <w:rsid w:val="0028775E"/>
    <w:rsid w:val="00292809"/>
    <w:rsid w:val="002A2F70"/>
    <w:rsid w:val="002A387E"/>
    <w:rsid w:val="002A39B8"/>
    <w:rsid w:val="002A5567"/>
    <w:rsid w:val="002A6437"/>
    <w:rsid w:val="002A656C"/>
    <w:rsid w:val="002A79E1"/>
    <w:rsid w:val="002B1DB9"/>
    <w:rsid w:val="002C4D8B"/>
    <w:rsid w:val="002C6B6D"/>
    <w:rsid w:val="002C6F03"/>
    <w:rsid w:val="002C72AE"/>
    <w:rsid w:val="002C740B"/>
    <w:rsid w:val="002D169D"/>
    <w:rsid w:val="002D1911"/>
    <w:rsid w:val="002D7397"/>
    <w:rsid w:val="002E15C4"/>
    <w:rsid w:val="002E160B"/>
    <w:rsid w:val="002E34A9"/>
    <w:rsid w:val="002E3D27"/>
    <w:rsid w:val="002F198C"/>
    <w:rsid w:val="002F4721"/>
    <w:rsid w:val="00301A69"/>
    <w:rsid w:val="00302BB6"/>
    <w:rsid w:val="00303571"/>
    <w:rsid w:val="0030598F"/>
    <w:rsid w:val="00306503"/>
    <w:rsid w:val="00307C5A"/>
    <w:rsid w:val="00311BEB"/>
    <w:rsid w:val="00314D7C"/>
    <w:rsid w:val="00320C2F"/>
    <w:rsid w:val="003253B4"/>
    <w:rsid w:val="00325DDD"/>
    <w:rsid w:val="003276FA"/>
    <w:rsid w:val="00327B21"/>
    <w:rsid w:val="00335080"/>
    <w:rsid w:val="0034096C"/>
    <w:rsid w:val="00341127"/>
    <w:rsid w:val="0034173B"/>
    <w:rsid w:val="003467DF"/>
    <w:rsid w:val="00350280"/>
    <w:rsid w:val="00353081"/>
    <w:rsid w:val="003548B5"/>
    <w:rsid w:val="00357F88"/>
    <w:rsid w:val="00361688"/>
    <w:rsid w:val="00362D9B"/>
    <w:rsid w:val="00364ACC"/>
    <w:rsid w:val="00365448"/>
    <w:rsid w:val="00374F93"/>
    <w:rsid w:val="00380CFC"/>
    <w:rsid w:val="003814DB"/>
    <w:rsid w:val="00383073"/>
    <w:rsid w:val="003856D3"/>
    <w:rsid w:val="00390FCA"/>
    <w:rsid w:val="00395A74"/>
    <w:rsid w:val="003964D6"/>
    <w:rsid w:val="003A1F7A"/>
    <w:rsid w:val="003A3CF4"/>
    <w:rsid w:val="003A56F3"/>
    <w:rsid w:val="003B1AA1"/>
    <w:rsid w:val="003B1BB0"/>
    <w:rsid w:val="003B2E5B"/>
    <w:rsid w:val="003B44F1"/>
    <w:rsid w:val="003B4665"/>
    <w:rsid w:val="003B7839"/>
    <w:rsid w:val="003C797B"/>
    <w:rsid w:val="003D0243"/>
    <w:rsid w:val="003E0BFA"/>
    <w:rsid w:val="003E1B3E"/>
    <w:rsid w:val="003E1BE6"/>
    <w:rsid w:val="003E5F06"/>
    <w:rsid w:val="003F350A"/>
    <w:rsid w:val="003F4989"/>
    <w:rsid w:val="003F49DF"/>
    <w:rsid w:val="0040077A"/>
    <w:rsid w:val="004032D3"/>
    <w:rsid w:val="00403FAC"/>
    <w:rsid w:val="00404084"/>
    <w:rsid w:val="00405C5D"/>
    <w:rsid w:val="00407FEC"/>
    <w:rsid w:val="00411219"/>
    <w:rsid w:val="0042479F"/>
    <w:rsid w:val="00427409"/>
    <w:rsid w:val="00427957"/>
    <w:rsid w:val="00431A73"/>
    <w:rsid w:val="00432945"/>
    <w:rsid w:val="004352E3"/>
    <w:rsid w:val="004433C4"/>
    <w:rsid w:val="00445775"/>
    <w:rsid w:val="00445826"/>
    <w:rsid w:val="0045036C"/>
    <w:rsid w:val="00450D37"/>
    <w:rsid w:val="00455FFD"/>
    <w:rsid w:val="00456636"/>
    <w:rsid w:val="00457850"/>
    <w:rsid w:val="0046209D"/>
    <w:rsid w:val="0046491A"/>
    <w:rsid w:val="00464C95"/>
    <w:rsid w:val="00465AD5"/>
    <w:rsid w:val="00471740"/>
    <w:rsid w:val="00471754"/>
    <w:rsid w:val="00480BB9"/>
    <w:rsid w:val="004858A4"/>
    <w:rsid w:val="004904E6"/>
    <w:rsid w:val="00490858"/>
    <w:rsid w:val="004A0E3A"/>
    <w:rsid w:val="004A396E"/>
    <w:rsid w:val="004A4389"/>
    <w:rsid w:val="004A77D3"/>
    <w:rsid w:val="004B11A9"/>
    <w:rsid w:val="004B1262"/>
    <w:rsid w:val="004B5056"/>
    <w:rsid w:val="004B7378"/>
    <w:rsid w:val="004C319F"/>
    <w:rsid w:val="004C4C0A"/>
    <w:rsid w:val="004D25D4"/>
    <w:rsid w:val="004D49D2"/>
    <w:rsid w:val="004D4F6D"/>
    <w:rsid w:val="004E002B"/>
    <w:rsid w:val="004E0CE9"/>
    <w:rsid w:val="004E1B81"/>
    <w:rsid w:val="004E24FB"/>
    <w:rsid w:val="004E358E"/>
    <w:rsid w:val="004E4AD4"/>
    <w:rsid w:val="004F2467"/>
    <w:rsid w:val="004F3784"/>
    <w:rsid w:val="004F45B3"/>
    <w:rsid w:val="004F6DEF"/>
    <w:rsid w:val="0050082B"/>
    <w:rsid w:val="00501B48"/>
    <w:rsid w:val="00503314"/>
    <w:rsid w:val="00503588"/>
    <w:rsid w:val="005069C9"/>
    <w:rsid w:val="0051337F"/>
    <w:rsid w:val="005143C7"/>
    <w:rsid w:val="0051684B"/>
    <w:rsid w:val="005248DC"/>
    <w:rsid w:val="00527552"/>
    <w:rsid w:val="005401A0"/>
    <w:rsid w:val="0054772F"/>
    <w:rsid w:val="00551454"/>
    <w:rsid w:val="00552462"/>
    <w:rsid w:val="00554FEE"/>
    <w:rsid w:val="00556E50"/>
    <w:rsid w:val="005608A2"/>
    <w:rsid w:val="00565B08"/>
    <w:rsid w:val="00565E62"/>
    <w:rsid w:val="00566A81"/>
    <w:rsid w:val="00567401"/>
    <w:rsid w:val="00575875"/>
    <w:rsid w:val="005807C8"/>
    <w:rsid w:val="00581281"/>
    <w:rsid w:val="00582D6D"/>
    <w:rsid w:val="00583AF4"/>
    <w:rsid w:val="00587EDA"/>
    <w:rsid w:val="005943FA"/>
    <w:rsid w:val="00594D70"/>
    <w:rsid w:val="00595394"/>
    <w:rsid w:val="00595640"/>
    <w:rsid w:val="005969AC"/>
    <w:rsid w:val="005A0E90"/>
    <w:rsid w:val="005A6653"/>
    <w:rsid w:val="005A696F"/>
    <w:rsid w:val="005C1891"/>
    <w:rsid w:val="005C1928"/>
    <w:rsid w:val="005C1FE9"/>
    <w:rsid w:val="005D0287"/>
    <w:rsid w:val="005D073F"/>
    <w:rsid w:val="005D3C85"/>
    <w:rsid w:val="005D4359"/>
    <w:rsid w:val="005D6B60"/>
    <w:rsid w:val="005D7B51"/>
    <w:rsid w:val="005E0CAF"/>
    <w:rsid w:val="005E2BAF"/>
    <w:rsid w:val="005E55C5"/>
    <w:rsid w:val="005E5939"/>
    <w:rsid w:val="005E7DCB"/>
    <w:rsid w:val="005F4C09"/>
    <w:rsid w:val="005F761E"/>
    <w:rsid w:val="005F7F99"/>
    <w:rsid w:val="00601627"/>
    <w:rsid w:val="00602006"/>
    <w:rsid w:val="006028FE"/>
    <w:rsid w:val="006030C3"/>
    <w:rsid w:val="00603B3B"/>
    <w:rsid w:val="00604EA6"/>
    <w:rsid w:val="00612512"/>
    <w:rsid w:val="00615F3C"/>
    <w:rsid w:val="00620A90"/>
    <w:rsid w:val="0062198F"/>
    <w:rsid w:val="006230F4"/>
    <w:rsid w:val="0062314C"/>
    <w:rsid w:val="00626E7B"/>
    <w:rsid w:val="0063267C"/>
    <w:rsid w:val="00635F40"/>
    <w:rsid w:val="00636DCE"/>
    <w:rsid w:val="006411D8"/>
    <w:rsid w:val="006457C5"/>
    <w:rsid w:val="0064631D"/>
    <w:rsid w:val="006501AB"/>
    <w:rsid w:val="006544E9"/>
    <w:rsid w:val="00656DCD"/>
    <w:rsid w:val="00657B7C"/>
    <w:rsid w:val="0066009F"/>
    <w:rsid w:val="00661A18"/>
    <w:rsid w:val="00663624"/>
    <w:rsid w:val="0066626C"/>
    <w:rsid w:val="00667FC2"/>
    <w:rsid w:val="006738F2"/>
    <w:rsid w:val="00675385"/>
    <w:rsid w:val="0067682A"/>
    <w:rsid w:val="00680BFC"/>
    <w:rsid w:val="00682943"/>
    <w:rsid w:val="00685808"/>
    <w:rsid w:val="00686E27"/>
    <w:rsid w:val="00690DBA"/>
    <w:rsid w:val="00694129"/>
    <w:rsid w:val="006A07D0"/>
    <w:rsid w:val="006A0C6A"/>
    <w:rsid w:val="006A0DA9"/>
    <w:rsid w:val="006A0EEA"/>
    <w:rsid w:val="006A17D2"/>
    <w:rsid w:val="006A6E56"/>
    <w:rsid w:val="006B6041"/>
    <w:rsid w:val="006B6811"/>
    <w:rsid w:val="006C2284"/>
    <w:rsid w:val="006C318D"/>
    <w:rsid w:val="006C7033"/>
    <w:rsid w:val="006E12A9"/>
    <w:rsid w:val="006E175C"/>
    <w:rsid w:val="006E3987"/>
    <w:rsid w:val="006F3647"/>
    <w:rsid w:val="00702397"/>
    <w:rsid w:val="0070346D"/>
    <w:rsid w:val="00704BBA"/>
    <w:rsid w:val="00704DFB"/>
    <w:rsid w:val="00704E08"/>
    <w:rsid w:val="00705647"/>
    <w:rsid w:val="0071073E"/>
    <w:rsid w:val="007137E9"/>
    <w:rsid w:val="00713DE6"/>
    <w:rsid w:val="007143E0"/>
    <w:rsid w:val="007156FA"/>
    <w:rsid w:val="00716F64"/>
    <w:rsid w:val="00722369"/>
    <w:rsid w:val="00722C2A"/>
    <w:rsid w:val="0072311A"/>
    <w:rsid w:val="007236D7"/>
    <w:rsid w:val="0072419E"/>
    <w:rsid w:val="0072481B"/>
    <w:rsid w:val="00731D02"/>
    <w:rsid w:val="00736657"/>
    <w:rsid w:val="00736F66"/>
    <w:rsid w:val="007370AC"/>
    <w:rsid w:val="00742D8F"/>
    <w:rsid w:val="007434A7"/>
    <w:rsid w:val="00744E4A"/>
    <w:rsid w:val="00752330"/>
    <w:rsid w:val="00755337"/>
    <w:rsid w:val="00757DE7"/>
    <w:rsid w:val="00760D52"/>
    <w:rsid w:val="007747AC"/>
    <w:rsid w:val="007762DA"/>
    <w:rsid w:val="00782934"/>
    <w:rsid w:val="0079006D"/>
    <w:rsid w:val="00794DB6"/>
    <w:rsid w:val="007A0680"/>
    <w:rsid w:val="007A0A0A"/>
    <w:rsid w:val="007A1C9B"/>
    <w:rsid w:val="007A29ED"/>
    <w:rsid w:val="007A2C1D"/>
    <w:rsid w:val="007A2F61"/>
    <w:rsid w:val="007A7D89"/>
    <w:rsid w:val="007B3D10"/>
    <w:rsid w:val="007B6AEE"/>
    <w:rsid w:val="007C1098"/>
    <w:rsid w:val="007C26B5"/>
    <w:rsid w:val="007C3EBA"/>
    <w:rsid w:val="007C6DE8"/>
    <w:rsid w:val="007D185A"/>
    <w:rsid w:val="007D51D5"/>
    <w:rsid w:val="007D6E4A"/>
    <w:rsid w:val="007E11DB"/>
    <w:rsid w:val="007E1407"/>
    <w:rsid w:val="007E1B04"/>
    <w:rsid w:val="007E236C"/>
    <w:rsid w:val="007E7226"/>
    <w:rsid w:val="007F0E17"/>
    <w:rsid w:val="007F53DE"/>
    <w:rsid w:val="007F5E9B"/>
    <w:rsid w:val="007F64E5"/>
    <w:rsid w:val="007F7356"/>
    <w:rsid w:val="007F7F8D"/>
    <w:rsid w:val="0080233A"/>
    <w:rsid w:val="00803E54"/>
    <w:rsid w:val="00804ECF"/>
    <w:rsid w:val="00805438"/>
    <w:rsid w:val="0081197E"/>
    <w:rsid w:val="00813347"/>
    <w:rsid w:val="00814648"/>
    <w:rsid w:val="00814899"/>
    <w:rsid w:val="008168C1"/>
    <w:rsid w:val="008236EC"/>
    <w:rsid w:val="0082385A"/>
    <w:rsid w:val="00824BDB"/>
    <w:rsid w:val="0082744A"/>
    <w:rsid w:val="0083032B"/>
    <w:rsid w:val="00830C32"/>
    <w:rsid w:val="00832D72"/>
    <w:rsid w:val="00835E5A"/>
    <w:rsid w:val="00853006"/>
    <w:rsid w:val="008553BF"/>
    <w:rsid w:val="008555CE"/>
    <w:rsid w:val="00864277"/>
    <w:rsid w:val="00876850"/>
    <w:rsid w:val="00877CA6"/>
    <w:rsid w:val="00881B06"/>
    <w:rsid w:val="00881EEA"/>
    <w:rsid w:val="00887D84"/>
    <w:rsid w:val="008A24A9"/>
    <w:rsid w:val="008A2529"/>
    <w:rsid w:val="008A52D4"/>
    <w:rsid w:val="008A5474"/>
    <w:rsid w:val="008B163A"/>
    <w:rsid w:val="008B2444"/>
    <w:rsid w:val="008B79DA"/>
    <w:rsid w:val="008C1858"/>
    <w:rsid w:val="008C4843"/>
    <w:rsid w:val="008C4B01"/>
    <w:rsid w:val="008D2B8E"/>
    <w:rsid w:val="008D552F"/>
    <w:rsid w:val="008E2ED0"/>
    <w:rsid w:val="008E7F8F"/>
    <w:rsid w:val="008F1555"/>
    <w:rsid w:val="008F1AF3"/>
    <w:rsid w:val="008F1D24"/>
    <w:rsid w:val="008F28C3"/>
    <w:rsid w:val="008F3439"/>
    <w:rsid w:val="008F362C"/>
    <w:rsid w:val="008F4915"/>
    <w:rsid w:val="008F4E12"/>
    <w:rsid w:val="008F698C"/>
    <w:rsid w:val="00904A04"/>
    <w:rsid w:val="00907BAE"/>
    <w:rsid w:val="009126C3"/>
    <w:rsid w:val="009132EE"/>
    <w:rsid w:val="0091342C"/>
    <w:rsid w:val="00925780"/>
    <w:rsid w:val="009270A0"/>
    <w:rsid w:val="00944A2F"/>
    <w:rsid w:val="0094537E"/>
    <w:rsid w:val="00945A5A"/>
    <w:rsid w:val="00946247"/>
    <w:rsid w:val="0096156C"/>
    <w:rsid w:val="00961B54"/>
    <w:rsid w:val="0096482C"/>
    <w:rsid w:val="009668B4"/>
    <w:rsid w:val="00967D61"/>
    <w:rsid w:val="00970438"/>
    <w:rsid w:val="00972D31"/>
    <w:rsid w:val="00973AC9"/>
    <w:rsid w:val="00973FD4"/>
    <w:rsid w:val="0097652D"/>
    <w:rsid w:val="009850C2"/>
    <w:rsid w:val="0098612C"/>
    <w:rsid w:val="00986516"/>
    <w:rsid w:val="00996ED2"/>
    <w:rsid w:val="009A5297"/>
    <w:rsid w:val="009B01F4"/>
    <w:rsid w:val="009C4C92"/>
    <w:rsid w:val="009C4FAE"/>
    <w:rsid w:val="009C59CA"/>
    <w:rsid w:val="009C6883"/>
    <w:rsid w:val="009D259D"/>
    <w:rsid w:val="009D382A"/>
    <w:rsid w:val="009D4DDC"/>
    <w:rsid w:val="009D6381"/>
    <w:rsid w:val="009D6B91"/>
    <w:rsid w:val="009E116F"/>
    <w:rsid w:val="009E2448"/>
    <w:rsid w:val="009E461C"/>
    <w:rsid w:val="009F10BF"/>
    <w:rsid w:val="009F1EE3"/>
    <w:rsid w:val="009F3BC1"/>
    <w:rsid w:val="009F4E1B"/>
    <w:rsid w:val="009F72E3"/>
    <w:rsid w:val="00A05685"/>
    <w:rsid w:val="00A07449"/>
    <w:rsid w:val="00A139B5"/>
    <w:rsid w:val="00A14CAB"/>
    <w:rsid w:val="00A15C2E"/>
    <w:rsid w:val="00A26BF0"/>
    <w:rsid w:val="00A26D04"/>
    <w:rsid w:val="00A26F58"/>
    <w:rsid w:val="00A306C3"/>
    <w:rsid w:val="00A313F9"/>
    <w:rsid w:val="00A32226"/>
    <w:rsid w:val="00A34566"/>
    <w:rsid w:val="00A345A7"/>
    <w:rsid w:val="00A348E9"/>
    <w:rsid w:val="00A35CF0"/>
    <w:rsid w:val="00A403B1"/>
    <w:rsid w:val="00A536B0"/>
    <w:rsid w:val="00A55340"/>
    <w:rsid w:val="00A71B8E"/>
    <w:rsid w:val="00A73676"/>
    <w:rsid w:val="00A745A4"/>
    <w:rsid w:val="00A7559C"/>
    <w:rsid w:val="00A77986"/>
    <w:rsid w:val="00A83623"/>
    <w:rsid w:val="00A83F8B"/>
    <w:rsid w:val="00A90A3A"/>
    <w:rsid w:val="00AA1C9B"/>
    <w:rsid w:val="00AA1EA6"/>
    <w:rsid w:val="00AA247D"/>
    <w:rsid w:val="00AA5AA6"/>
    <w:rsid w:val="00AC0276"/>
    <w:rsid w:val="00AC1249"/>
    <w:rsid w:val="00AC69EF"/>
    <w:rsid w:val="00AD45EC"/>
    <w:rsid w:val="00AD7BDD"/>
    <w:rsid w:val="00AE081B"/>
    <w:rsid w:val="00AF46DB"/>
    <w:rsid w:val="00B00E0B"/>
    <w:rsid w:val="00B05315"/>
    <w:rsid w:val="00B0653D"/>
    <w:rsid w:val="00B16C2C"/>
    <w:rsid w:val="00B20078"/>
    <w:rsid w:val="00B21548"/>
    <w:rsid w:val="00B221C0"/>
    <w:rsid w:val="00B2306D"/>
    <w:rsid w:val="00B32542"/>
    <w:rsid w:val="00B33C96"/>
    <w:rsid w:val="00B37308"/>
    <w:rsid w:val="00B42F28"/>
    <w:rsid w:val="00B45298"/>
    <w:rsid w:val="00B51677"/>
    <w:rsid w:val="00B54FBB"/>
    <w:rsid w:val="00B55D5B"/>
    <w:rsid w:val="00B627CE"/>
    <w:rsid w:val="00B722D3"/>
    <w:rsid w:val="00B73CFA"/>
    <w:rsid w:val="00B85831"/>
    <w:rsid w:val="00B90463"/>
    <w:rsid w:val="00B9193F"/>
    <w:rsid w:val="00B919AC"/>
    <w:rsid w:val="00B95E29"/>
    <w:rsid w:val="00BA35CA"/>
    <w:rsid w:val="00BA6238"/>
    <w:rsid w:val="00BA75A3"/>
    <w:rsid w:val="00BB0AFA"/>
    <w:rsid w:val="00BB0E9C"/>
    <w:rsid w:val="00BB2E71"/>
    <w:rsid w:val="00BC05FC"/>
    <w:rsid w:val="00BC17E2"/>
    <w:rsid w:val="00BC1FBB"/>
    <w:rsid w:val="00BC4CF9"/>
    <w:rsid w:val="00BC4F96"/>
    <w:rsid w:val="00BD22FF"/>
    <w:rsid w:val="00BD2497"/>
    <w:rsid w:val="00BD7333"/>
    <w:rsid w:val="00BE2422"/>
    <w:rsid w:val="00BE7B6E"/>
    <w:rsid w:val="00BF3340"/>
    <w:rsid w:val="00BF3376"/>
    <w:rsid w:val="00BF75B5"/>
    <w:rsid w:val="00C032E1"/>
    <w:rsid w:val="00C0670E"/>
    <w:rsid w:val="00C1719D"/>
    <w:rsid w:val="00C26BB5"/>
    <w:rsid w:val="00C27B9F"/>
    <w:rsid w:val="00C32DEE"/>
    <w:rsid w:val="00C335F5"/>
    <w:rsid w:val="00C33954"/>
    <w:rsid w:val="00C340E2"/>
    <w:rsid w:val="00C40AD3"/>
    <w:rsid w:val="00C50466"/>
    <w:rsid w:val="00C522F7"/>
    <w:rsid w:val="00C548FB"/>
    <w:rsid w:val="00C56523"/>
    <w:rsid w:val="00C5724D"/>
    <w:rsid w:val="00C63036"/>
    <w:rsid w:val="00C65CFD"/>
    <w:rsid w:val="00C70E8D"/>
    <w:rsid w:val="00C750D7"/>
    <w:rsid w:val="00C7727A"/>
    <w:rsid w:val="00C80795"/>
    <w:rsid w:val="00C86F78"/>
    <w:rsid w:val="00C87496"/>
    <w:rsid w:val="00C93E81"/>
    <w:rsid w:val="00C946D6"/>
    <w:rsid w:val="00CA3049"/>
    <w:rsid w:val="00CA3AA7"/>
    <w:rsid w:val="00CA780E"/>
    <w:rsid w:val="00CB0DAC"/>
    <w:rsid w:val="00CB4F2D"/>
    <w:rsid w:val="00CC245E"/>
    <w:rsid w:val="00CD373E"/>
    <w:rsid w:val="00CD64F0"/>
    <w:rsid w:val="00CE2083"/>
    <w:rsid w:val="00CE2FA8"/>
    <w:rsid w:val="00CE4350"/>
    <w:rsid w:val="00CE5078"/>
    <w:rsid w:val="00CE6CCE"/>
    <w:rsid w:val="00CF15DA"/>
    <w:rsid w:val="00CF47D7"/>
    <w:rsid w:val="00CF4CD4"/>
    <w:rsid w:val="00D00271"/>
    <w:rsid w:val="00D023A1"/>
    <w:rsid w:val="00D03A03"/>
    <w:rsid w:val="00D10B8D"/>
    <w:rsid w:val="00D13357"/>
    <w:rsid w:val="00D156AD"/>
    <w:rsid w:val="00D15FA3"/>
    <w:rsid w:val="00D17A4C"/>
    <w:rsid w:val="00D2403C"/>
    <w:rsid w:val="00D24BC6"/>
    <w:rsid w:val="00D27362"/>
    <w:rsid w:val="00D27864"/>
    <w:rsid w:val="00D31075"/>
    <w:rsid w:val="00D32B73"/>
    <w:rsid w:val="00D33979"/>
    <w:rsid w:val="00D35385"/>
    <w:rsid w:val="00D44857"/>
    <w:rsid w:val="00D45DF2"/>
    <w:rsid w:val="00D45E9F"/>
    <w:rsid w:val="00D5143F"/>
    <w:rsid w:val="00D55E20"/>
    <w:rsid w:val="00D5671D"/>
    <w:rsid w:val="00D6102C"/>
    <w:rsid w:val="00D65E5E"/>
    <w:rsid w:val="00D7086F"/>
    <w:rsid w:val="00D71848"/>
    <w:rsid w:val="00D73661"/>
    <w:rsid w:val="00D76255"/>
    <w:rsid w:val="00D76F75"/>
    <w:rsid w:val="00D84E93"/>
    <w:rsid w:val="00D95C79"/>
    <w:rsid w:val="00D95DB0"/>
    <w:rsid w:val="00DB7ACD"/>
    <w:rsid w:val="00DC0226"/>
    <w:rsid w:val="00DC0717"/>
    <w:rsid w:val="00DC0B87"/>
    <w:rsid w:val="00DC0F31"/>
    <w:rsid w:val="00DC4DDB"/>
    <w:rsid w:val="00DD4E77"/>
    <w:rsid w:val="00DD5803"/>
    <w:rsid w:val="00DE2ED0"/>
    <w:rsid w:val="00DE60F7"/>
    <w:rsid w:val="00DF46BB"/>
    <w:rsid w:val="00DF4760"/>
    <w:rsid w:val="00DF7190"/>
    <w:rsid w:val="00E01C37"/>
    <w:rsid w:val="00E02087"/>
    <w:rsid w:val="00E031C7"/>
    <w:rsid w:val="00E1042C"/>
    <w:rsid w:val="00E10626"/>
    <w:rsid w:val="00E11D59"/>
    <w:rsid w:val="00E1329D"/>
    <w:rsid w:val="00E15FC7"/>
    <w:rsid w:val="00E2435B"/>
    <w:rsid w:val="00E24F69"/>
    <w:rsid w:val="00E271A1"/>
    <w:rsid w:val="00E27B45"/>
    <w:rsid w:val="00E30CD4"/>
    <w:rsid w:val="00E31683"/>
    <w:rsid w:val="00E33A56"/>
    <w:rsid w:val="00E34DE7"/>
    <w:rsid w:val="00E370B7"/>
    <w:rsid w:val="00E44742"/>
    <w:rsid w:val="00E504A0"/>
    <w:rsid w:val="00E50EE4"/>
    <w:rsid w:val="00E53CA1"/>
    <w:rsid w:val="00E626BA"/>
    <w:rsid w:val="00E641A8"/>
    <w:rsid w:val="00E6696F"/>
    <w:rsid w:val="00E67070"/>
    <w:rsid w:val="00E70849"/>
    <w:rsid w:val="00E709DD"/>
    <w:rsid w:val="00E72B97"/>
    <w:rsid w:val="00E72C51"/>
    <w:rsid w:val="00E77249"/>
    <w:rsid w:val="00E776A7"/>
    <w:rsid w:val="00E805DB"/>
    <w:rsid w:val="00E92F64"/>
    <w:rsid w:val="00E934DB"/>
    <w:rsid w:val="00E953A3"/>
    <w:rsid w:val="00E960AD"/>
    <w:rsid w:val="00E96AB8"/>
    <w:rsid w:val="00EA0F8A"/>
    <w:rsid w:val="00EA20A1"/>
    <w:rsid w:val="00EB0491"/>
    <w:rsid w:val="00EB0BA6"/>
    <w:rsid w:val="00EB3A75"/>
    <w:rsid w:val="00EB49C1"/>
    <w:rsid w:val="00EB5113"/>
    <w:rsid w:val="00EB67E8"/>
    <w:rsid w:val="00EB6EA7"/>
    <w:rsid w:val="00EC17E9"/>
    <w:rsid w:val="00ED0154"/>
    <w:rsid w:val="00ED0EB9"/>
    <w:rsid w:val="00ED1394"/>
    <w:rsid w:val="00ED1E99"/>
    <w:rsid w:val="00ED3EFC"/>
    <w:rsid w:val="00ED5807"/>
    <w:rsid w:val="00EE005A"/>
    <w:rsid w:val="00EE07D6"/>
    <w:rsid w:val="00EE2748"/>
    <w:rsid w:val="00EE2E12"/>
    <w:rsid w:val="00EE4852"/>
    <w:rsid w:val="00EE5B8A"/>
    <w:rsid w:val="00EF4378"/>
    <w:rsid w:val="00F047F2"/>
    <w:rsid w:val="00F0508A"/>
    <w:rsid w:val="00F07545"/>
    <w:rsid w:val="00F10F30"/>
    <w:rsid w:val="00F128DE"/>
    <w:rsid w:val="00F14293"/>
    <w:rsid w:val="00F14C0F"/>
    <w:rsid w:val="00F17DAB"/>
    <w:rsid w:val="00F218A8"/>
    <w:rsid w:val="00F234A9"/>
    <w:rsid w:val="00F24BA7"/>
    <w:rsid w:val="00F25169"/>
    <w:rsid w:val="00F2727B"/>
    <w:rsid w:val="00F3046B"/>
    <w:rsid w:val="00F326FF"/>
    <w:rsid w:val="00F35AAD"/>
    <w:rsid w:val="00F35F8B"/>
    <w:rsid w:val="00F40950"/>
    <w:rsid w:val="00F51DB7"/>
    <w:rsid w:val="00F52687"/>
    <w:rsid w:val="00F54382"/>
    <w:rsid w:val="00F56B8D"/>
    <w:rsid w:val="00F60134"/>
    <w:rsid w:val="00F64B8D"/>
    <w:rsid w:val="00F71D88"/>
    <w:rsid w:val="00F758CB"/>
    <w:rsid w:val="00F81642"/>
    <w:rsid w:val="00F83651"/>
    <w:rsid w:val="00F83689"/>
    <w:rsid w:val="00F85C00"/>
    <w:rsid w:val="00F93A97"/>
    <w:rsid w:val="00FA115C"/>
    <w:rsid w:val="00FB0C06"/>
    <w:rsid w:val="00FB548F"/>
    <w:rsid w:val="00FB569E"/>
    <w:rsid w:val="00FB64C2"/>
    <w:rsid w:val="00FC272D"/>
    <w:rsid w:val="00FC3358"/>
    <w:rsid w:val="00FC6E1E"/>
    <w:rsid w:val="00FD6F4A"/>
    <w:rsid w:val="00FD7AD0"/>
    <w:rsid w:val="00FF0BB7"/>
    <w:rsid w:val="00FF0C98"/>
    <w:rsid w:val="00FF4EEE"/>
    <w:rsid w:val="1038B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F37383"/>
  <w15:docId w15:val="{CFAF4451-C438-48BF-BAD4-FA3CECC7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52687"/>
    <w:pPr>
      <w:spacing w:after="0" w:line="240" w:lineRule="auto"/>
    </w:pPr>
    <w:rPr>
      <w:rFonts w:ascii="Times New Roman" w:eastAsia="Times New Roman" w:hAnsi="Times New Roman" w:cs="Times New Roman"/>
      <w:sz w:val="24"/>
      <w:szCs w:val="24"/>
      <w:lang w:eastAsia="en-US"/>
    </w:rPr>
  </w:style>
  <w:style w:type="paragraph" w:styleId="Titolo1">
    <w:name w:val="heading 1"/>
    <w:basedOn w:val="Normale"/>
    <w:next w:val="Normale"/>
    <w:link w:val="Titolo1Carattere"/>
    <w:rsid w:val="00E53CA1"/>
    <w:pPr>
      <w:keepNext/>
      <w:jc w:val="both"/>
      <w:outlineLvl w:val="0"/>
    </w:pPr>
    <w:rPr>
      <w:rFonts w:ascii="Futura Bk BT" w:hAnsi="Futura Bk BT"/>
      <w:b/>
      <w:bCs/>
      <w:color w:val="999999"/>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63036"/>
    <w:pPr>
      <w:tabs>
        <w:tab w:val="center" w:pos="4680"/>
        <w:tab w:val="right" w:pos="9360"/>
      </w:tabs>
    </w:pPr>
  </w:style>
  <w:style w:type="character" w:customStyle="1" w:styleId="IntestazioneCarattere">
    <w:name w:val="Intestazione Carattere"/>
    <w:basedOn w:val="Carpredefinitoparagrafo"/>
    <w:link w:val="Intestazione"/>
    <w:uiPriority w:val="99"/>
    <w:rsid w:val="00C63036"/>
  </w:style>
  <w:style w:type="paragraph" w:styleId="Pidipagina">
    <w:name w:val="footer"/>
    <w:basedOn w:val="Normale"/>
    <w:link w:val="PidipaginaCarattere"/>
    <w:uiPriority w:val="99"/>
    <w:unhideWhenUsed/>
    <w:rsid w:val="00C63036"/>
    <w:pPr>
      <w:tabs>
        <w:tab w:val="center" w:pos="4680"/>
        <w:tab w:val="right" w:pos="9360"/>
      </w:tabs>
    </w:pPr>
  </w:style>
  <w:style w:type="character" w:customStyle="1" w:styleId="PidipaginaCarattere">
    <w:name w:val="Piè di pagina Carattere"/>
    <w:basedOn w:val="Carpredefinitoparagrafo"/>
    <w:link w:val="Pidipagina"/>
    <w:uiPriority w:val="99"/>
    <w:rsid w:val="00C63036"/>
  </w:style>
  <w:style w:type="paragraph" w:styleId="Testofumetto">
    <w:name w:val="Balloon Text"/>
    <w:basedOn w:val="Normale"/>
    <w:link w:val="TestofumettoCarattere"/>
    <w:uiPriority w:val="99"/>
    <w:semiHidden/>
    <w:unhideWhenUsed/>
    <w:rsid w:val="00C630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3036"/>
    <w:rPr>
      <w:rFonts w:ascii="Tahoma" w:hAnsi="Tahoma" w:cs="Tahoma"/>
      <w:sz w:val="16"/>
      <w:szCs w:val="16"/>
    </w:rPr>
  </w:style>
  <w:style w:type="paragraph" w:customStyle="1" w:styleId="MainText">
    <w:name w:val="Main Text"/>
    <w:basedOn w:val="Normale"/>
    <w:rsid w:val="00C63036"/>
    <w:pPr>
      <w:spacing w:line="300" w:lineRule="exact"/>
      <w:ind w:left="120"/>
    </w:pPr>
    <w:rPr>
      <w:szCs w:val="20"/>
    </w:rPr>
  </w:style>
  <w:style w:type="character" w:styleId="Collegamentoipertestuale">
    <w:name w:val="Hyperlink"/>
    <w:basedOn w:val="Carpredefinitoparagrafo"/>
    <w:uiPriority w:val="99"/>
    <w:unhideWhenUsed/>
    <w:rsid w:val="00F81642"/>
    <w:rPr>
      <w:color w:val="80BBAD" w:themeColor="hyperlink"/>
      <w:u w:val="single"/>
    </w:rPr>
  </w:style>
  <w:style w:type="character" w:customStyle="1" w:styleId="Titolo1Carattere">
    <w:name w:val="Titolo 1 Carattere"/>
    <w:basedOn w:val="Carpredefinitoparagrafo"/>
    <w:link w:val="Titolo1"/>
    <w:rsid w:val="00E53CA1"/>
    <w:rPr>
      <w:rFonts w:ascii="Futura Bk BT" w:eastAsia="Times New Roman" w:hAnsi="Futura Bk BT" w:cs="Times New Roman"/>
      <w:b/>
      <w:bCs/>
      <w:color w:val="999999"/>
      <w:sz w:val="20"/>
      <w:szCs w:val="24"/>
      <w:lang w:eastAsia="en-US"/>
    </w:rPr>
  </w:style>
  <w:style w:type="character" w:styleId="Menzionenonrisolta">
    <w:name w:val="Unresolved Mention"/>
    <w:basedOn w:val="Carpredefinitoparagrafo"/>
    <w:uiPriority w:val="99"/>
    <w:semiHidden/>
    <w:unhideWhenUsed/>
    <w:rsid w:val="00685808"/>
    <w:rPr>
      <w:color w:val="808080"/>
      <w:shd w:val="clear" w:color="auto" w:fill="E6E6E6"/>
    </w:rPr>
  </w:style>
  <w:style w:type="paragraph" w:customStyle="1" w:styleId="BodyCopy">
    <w:name w:val="Body Copy"/>
    <w:basedOn w:val="Normale"/>
    <w:qFormat/>
    <w:rsid w:val="00F51DB7"/>
    <w:pPr>
      <w:autoSpaceDE w:val="0"/>
      <w:autoSpaceDN w:val="0"/>
      <w:adjustRightInd w:val="0"/>
    </w:pPr>
    <w:rPr>
      <w:color w:val="425254" w:themeColor="text1"/>
    </w:rPr>
  </w:style>
  <w:style w:type="paragraph" w:customStyle="1" w:styleId="Boilerplate">
    <w:name w:val="Boilerplate"/>
    <w:basedOn w:val="Normale"/>
    <w:rsid w:val="003B44F1"/>
    <w:pPr>
      <w:spacing w:line="240" w:lineRule="exact"/>
    </w:pPr>
    <w:rPr>
      <w:rFonts w:ascii="Calibre" w:eastAsia="Calibri" w:hAnsi="Calibre"/>
      <w:color w:val="7F8481" w:themeColor="accent5"/>
      <w:sz w:val="21"/>
      <w:szCs w:val="21"/>
    </w:rPr>
  </w:style>
  <w:style w:type="paragraph" w:customStyle="1" w:styleId="Subhead">
    <w:name w:val="Subhead"/>
    <w:basedOn w:val="Normale"/>
    <w:qFormat/>
    <w:rsid w:val="007E236C"/>
    <w:pPr>
      <w:jc w:val="center"/>
    </w:pPr>
    <w:rPr>
      <w:bCs/>
      <w:i/>
      <w:color w:val="425254" w:themeColor="text1"/>
    </w:rPr>
  </w:style>
  <w:style w:type="paragraph" w:customStyle="1" w:styleId="Headline">
    <w:name w:val="Headline"/>
    <w:basedOn w:val="Normale"/>
    <w:qFormat/>
    <w:rsid w:val="007E236C"/>
    <w:pPr>
      <w:jc w:val="center"/>
    </w:pPr>
    <w:rPr>
      <w:b/>
      <w:color w:val="425254" w:themeColor="text1"/>
      <w:sz w:val="28"/>
      <w:szCs w:val="28"/>
    </w:rPr>
  </w:style>
  <w:style w:type="paragraph" w:customStyle="1" w:styleId="Contact">
    <w:name w:val="Contact"/>
    <w:basedOn w:val="MainText"/>
    <w:qFormat/>
    <w:rsid w:val="003B44F1"/>
    <w:pPr>
      <w:ind w:left="0"/>
    </w:pPr>
    <w:rPr>
      <w:b/>
      <w:bCs/>
      <w:color w:val="425254" w:themeColor="text1"/>
      <w:szCs w:val="24"/>
    </w:rPr>
  </w:style>
  <w:style w:type="character" w:styleId="Rimandocommento">
    <w:name w:val="annotation reference"/>
    <w:basedOn w:val="Carpredefinitoparagrafo"/>
    <w:uiPriority w:val="99"/>
    <w:semiHidden/>
    <w:unhideWhenUsed/>
    <w:rsid w:val="002A2F70"/>
    <w:rPr>
      <w:sz w:val="16"/>
      <w:szCs w:val="16"/>
    </w:rPr>
  </w:style>
  <w:style w:type="paragraph" w:styleId="Testocommento">
    <w:name w:val="annotation text"/>
    <w:basedOn w:val="Normale"/>
    <w:link w:val="TestocommentoCarattere"/>
    <w:uiPriority w:val="99"/>
    <w:semiHidden/>
    <w:unhideWhenUsed/>
    <w:rsid w:val="002A2F70"/>
    <w:rPr>
      <w:sz w:val="20"/>
      <w:szCs w:val="20"/>
    </w:rPr>
  </w:style>
  <w:style w:type="character" w:customStyle="1" w:styleId="TestocommentoCarattere">
    <w:name w:val="Testo commento Carattere"/>
    <w:basedOn w:val="Carpredefinitoparagrafo"/>
    <w:link w:val="Testocommento"/>
    <w:uiPriority w:val="99"/>
    <w:semiHidden/>
    <w:rsid w:val="002A2F70"/>
    <w:rPr>
      <w:rFonts w:ascii="Times New Roman" w:eastAsia="Times New Roman" w:hAnsi="Times New Roman" w:cs="Times New Roman"/>
      <w:sz w:val="20"/>
      <w:szCs w:val="20"/>
      <w:lang w:eastAsia="en-US"/>
    </w:rPr>
  </w:style>
  <w:style w:type="paragraph" w:styleId="Soggettocommento">
    <w:name w:val="annotation subject"/>
    <w:basedOn w:val="Testocommento"/>
    <w:next w:val="Testocommento"/>
    <w:link w:val="SoggettocommentoCarattere"/>
    <w:uiPriority w:val="99"/>
    <w:semiHidden/>
    <w:unhideWhenUsed/>
    <w:rsid w:val="002A2F70"/>
    <w:rPr>
      <w:b/>
      <w:bCs/>
    </w:rPr>
  </w:style>
  <w:style w:type="character" w:customStyle="1" w:styleId="SoggettocommentoCarattere">
    <w:name w:val="Soggetto commento Carattere"/>
    <w:basedOn w:val="TestocommentoCarattere"/>
    <w:link w:val="Soggettocommento"/>
    <w:uiPriority w:val="99"/>
    <w:semiHidden/>
    <w:rsid w:val="002A2F70"/>
    <w:rPr>
      <w:rFonts w:ascii="Times New Roman" w:eastAsia="Times New Roman" w:hAnsi="Times New Roman" w:cs="Times New Roman"/>
      <w:b/>
      <w:bCs/>
      <w:sz w:val="20"/>
      <w:szCs w:val="20"/>
      <w:lang w:eastAsia="en-US"/>
    </w:rPr>
  </w:style>
  <w:style w:type="paragraph" w:styleId="Revisione">
    <w:name w:val="Revision"/>
    <w:hidden/>
    <w:uiPriority w:val="99"/>
    <w:semiHidden/>
    <w:rsid w:val="000360B5"/>
    <w:pPr>
      <w:spacing w:after="0"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28618">
      <w:bodyDiv w:val="1"/>
      <w:marLeft w:val="0"/>
      <w:marRight w:val="0"/>
      <w:marTop w:val="0"/>
      <w:marBottom w:val="0"/>
      <w:divBdr>
        <w:top w:val="none" w:sz="0" w:space="0" w:color="auto"/>
        <w:left w:val="none" w:sz="0" w:space="0" w:color="auto"/>
        <w:bottom w:val="none" w:sz="0" w:space="0" w:color="auto"/>
        <w:right w:val="none" w:sz="0" w:space="0" w:color="auto"/>
      </w:divBdr>
    </w:div>
    <w:div w:id="507986539">
      <w:bodyDiv w:val="1"/>
      <w:marLeft w:val="0"/>
      <w:marRight w:val="0"/>
      <w:marTop w:val="0"/>
      <w:marBottom w:val="0"/>
      <w:divBdr>
        <w:top w:val="none" w:sz="0" w:space="0" w:color="auto"/>
        <w:left w:val="none" w:sz="0" w:space="0" w:color="auto"/>
        <w:bottom w:val="none" w:sz="0" w:space="0" w:color="auto"/>
        <w:right w:val="none" w:sz="0" w:space="0" w:color="auto"/>
      </w:divBdr>
    </w:div>
    <w:div w:id="1104228856">
      <w:bodyDiv w:val="1"/>
      <w:marLeft w:val="0"/>
      <w:marRight w:val="0"/>
      <w:marTop w:val="0"/>
      <w:marBottom w:val="0"/>
      <w:divBdr>
        <w:top w:val="none" w:sz="0" w:space="0" w:color="auto"/>
        <w:left w:val="none" w:sz="0" w:space="0" w:color="auto"/>
        <w:bottom w:val="none" w:sz="0" w:space="0" w:color="auto"/>
        <w:right w:val="none" w:sz="0" w:space="0" w:color="auto"/>
      </w:divBdr>
    </w:div>
    <w:div w:id="1248150932">
      <w:bodyDiv w:val="1"/>
      <w:marLeft w:val="0"/>
      <w:marRight w:val="0"/>
      <w:marTop w:val="0"/>
      <w:marBottom w:val="0"/>
      <w:divBdr>
        <w:top w:val="none" w:sz="0" w:space="0" w:color="auto"/>
        <w:left w:val="none" w:sz="0" w:space="0" w:color="auto"/>
        <w:bottom w:val="none" w:sz="0" w:space="0" w:color="auto"/>
        <w:right w:val="none" w:sz="0" w:space="0" w:color="auto"/>
      </w:divBdr>
    </w:div>
    <w:div w:id="1298299385">
      <w:bodyDiv w:val="1"/>
      <w:marLeft w:val="0"/>
      <w:marRight w:val="0"/>
      <w:marTop w:val="0"/>
      <w:marBottom w:val="0"/>
      <w:divBdr>
        <w:top w:val="none" w:sz="0" w:space="0" w:color="auto"/>
        <w:left w:val="none" w:sz="0" w:space="0" w:color="auto"/>
        <w:bottom w:val="none" w:sz="0" w:space="0" w:color="auto"/>
        <w:right w:val="none" w:sz="0" w:space="0" w:color="auto"/>
      </w:divBdr>
    </w:div>
    <w:div w:id="1337880475">
      <w:bodyDiv w:val="1"/>
      <w:marLeft w:val="0"/>
      <w:marRight w:val="0"/>
      <w:marTop w:val="0"/>
      <w:marBottom w:val="0"/>
      <w:divBdr>
        <w:top w:val="none" w:sz="0" w:space="0" w:color="auto"/>
        <w:left w:val="none" w:sz="0" w:space="0" w:color="auto"/>
        <w:bottom w:val="none" w:sz="0" w:space="0" w:color="auto"/>
        <w:right w:val="none" w:sz="0" w:space="0" w:color="auto"/>
      </w:divBdr>
    </w:div>
    <w:div w:id="1513959065">
      <w:bodyDiv w:val="1"/>
      <w:marLeft w:val="0"/>
      <w:marRight w:val="0"/>
      <w:marTop w:val="0"/>
      <w:marBottom w:val="0"/>
      <w:divBdr>
        <w:top w:val="none" w:sz="0" w:space="0" w:color="auto"/>
        <w:left w:val="none" w:sz="0" w:space="0" w:color="auto"/>
        <w:bottom w:val="none" w:sz="0" w:space="0" w:color="auto"/>
        <w:right w:val="none" w:sz="0" w:space="0" w:color="auto"/>
      </w:divBdr>
    </w:div>
    <w:div w:id="1684471821">
      <w:bodyDiv w:val="1"/>
      <w:marLeft w:val="0"/>
      <w:marRight w:val="0"/>
      <w:marTop w:val="0"/>
      <w:marBottom w:val="0"/>
      <w:divBdr>
        <w:top w:val="none" w:sz="0" w:space="0" w:color="auto"/>
        <w:left w:val="none" w:sz="0" w:space="0" w:color="auto"/>
        <w:bottom w:val="none" w:sz="0" w:space="0" w:color="auto"/>
        <w:right w:val="none" w:sz="0" w:space="0" w:color="auto"/>
      </w:divBdr>
    </w:div>
    <w:div w:id="176692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a.cottone@cbre.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parodi@lobcom.it" TargetMode="External"/><Relationship Id="rId4" Type="http://schemas.openxmlformats.org/officeDocument/2006/relationships/settings" Target="settings.xml"/><Relationship Id="rId9" Type="http://schemas.openxmlformats.org/officeDocument/2006/relationships/hyperlink" Target="mailto:ldamiani@lobcom.i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Cottone\Downloads\2021_press_release_template.dotx" TargetMode="External"/></Relationships>
</file>

<file path=word/theme/theme1.xml><?xml version="1.0" encoding="utf-8"?>
<a:theme xmlns:a="http://schemas.openxmlformats.org/drawingml/2006/main" name="CBRE 2021 Theme">
  <a:themeElements>
    <a:clrScheme name="CBRE 2021">
      <a:dk1>
        <a:srgbClr val="425254"/>
      </a:dk1>
      <a:lt1>
        <a:srgbClr val="FFFFFF"/>
      </a:lt1>
      <a:dk2>
        <a:srgbClr val="DCD99A"/>
      </a:dk2>
      <a:lt2>
        <a:srgbClr val="7FBBAD"/>
      </a:lt2>
      <a:accent1>
        <a:srgbClr val="1F3765"/>
      </a:accent1>
      <a:accent2>
        <a:srgbClr val="3E7DA6"/>
      </a:accent2>
      <a:accent3>
        <a:srgbClr val="CAD1D3"/>
      </a:accent3>
      <a:accent4>
        <a:srgbClr val="96B3B6"/>
      </a:accent4>
      <a:accent5>
        <a:srgbClr val="7F8481"/>
      </a:accent5>
      <a:accent6>
        <a:srgbClr val="003D30"/>
      </a:accent6>
      <a:hlink>
        <a:srgbClr val="80BBAD"/>
      </a:hlink>
      <a:folHlink>
        <a:srgbClr val="CAD1D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DD944-E0DC-4AC4-B699-8C3F373F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2021_press_release_template</Template>
  <TotalTime>8</TotalTime>
  <Pages>4</Pages>
  <Words>1843</Words>
  <Characters>10506</Characters>
  <Application>Microsoft Office Word</Application>
  <DocSecurity>0</DocSecurity>
  <Lines>87</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CBRE</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Cottone, Francesca @ Milan</dc:creator>
  <cp:lastModifiedBy>Cottone, Francesca @ Milan</cp:lastModifiedBy>
  <cp:revision>6</cp:revision>
  <dcterms:created xsi:type="dcterms:W3CDTF">2022-04-06T13:57:00Z</dcterms:created>
  <dcterms:modified xsi:type="dcterms:W3CDTF">2022-04-06T14:41:00Z</dcterms:modified>
</cp:coreProperties>
</file>