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27D3" w14:textId="77777777" w:rsidR="00091923" w:rsidRPr="00C21161" w:rsidRDefault="00091923" w:rsidP="00091923">
      <w:pPr>
        <w:pBdr>
          <w:bottom w:val="single" w:sz="4" w:space="1" w:color="auto"/>
        </w:pBdr>
        <w:autoSpaceDE w:val="0"/>
        <w:autoSpaceDN w:val="0"/>
        <w:adjustRightInd w:val="0"/>
        <w:spacing w:line="276" w:lineRule="auto"/>
        <w:jc w:val="center"/>
        <w:rPr>
          <w:rFonts w:cstheme="minorHAnsi"/>
          <w:b/>
          <w:bCs/>
          <w:color w:val="000000"/>
          <w:sz w:val="24"/>
          <w:szCs w:val="24"/>
        </w:rPr>
      </w:pPr>
      <w:r w:rsidRPr="00C21161">
        <w:rPr>
          <w:rFonts w:cstheme="minorHAnsi"/>
          <w:b/>
          <w:bCs/>
          <w:color w:val="000000"/>
          <w:sz w:val="24"/>
          <w:szCs w:val="24"/>
        </w:rPr>
        <w:t>Comunicato stampa</w:t>
      </w:r>
    </w:p>
    <w:p w14:paraId="19F90C06" w14:textId="415E6061" w:rsidR="000E7F0E" w:rsidRPr="00386A3E" w:rsidRDefault="00CD0CB3" w:rsidP="00577AA5">
      <w:pPr>
        <w:autoSpaceDE w:val="0"/>
        <w:autoSpaceDN w:val="0"/>
        <w:adjustRightInd w:val="0"/>
        <w:spacing w:after="0" w:line="276" w:lineRule="auto"/>
        <w:jc w:val="center"/>
        <w:rPr>
          <w:rFonts w:cstheme="minorHAnsi"/>
          <w:b/>
          <w:bCs/>
          <w:sz w:val="28"/>
          <w:szCs w:val="28"/>
        </w:rPr>
      </w:pPr>
      <w:r w:rsidRPr="00386A3E">
        <w:rPr>
          <w:rFonts w:cstheme="minorHAnsi"/>
          <w:b/>
          <w:bCs/>
          <w:sz w:val="28"/>
          <w:szCs w:val="28"/>
        </w:rPr>
        <w:t xml:space="preserve"> </w:t>
      </w:r>
      <w:r w:rsidR="00091923" w:rsidRPr="00386A3E">
        <w:rPr>
          <w:rFonts w:cstheme="minorHAnsi"/>
          <w:b/>
          <w:bCs/>
          <w:sz w:val="28"/>
          <w:szCs w:val="28"/>
        </w:rPr>
        <w:t>OFFICINE CST</w:t>
      </w:r>
      <w:r w:rsidR="000E7F0E" w:rsidRPr="00386A3E">
        <w:rPr>
          <w:rFonts w:cstheme="minorHAnsi"/>
          <w:b/>
          <w:bCs/>
          <w:sz w:val="28"/>
          <w:szCs w:val="28"/>
        </w:rPr>
        <w:t xml:space="preserve"> CONTINUA NELLA CRESCITA:</w:t>
      </w:r>
      <w:r w:rsidR="00577AA5" w:rsidRPr="00386A3E">
        <w:rPr>
          <w:rFonts w:cstheme="minorHAnsi"/>
          <w:b/>
          <w:bCs/>
          <w:sz w:val="28"/>
          <w:szCs w:val="28"/>
        </w:rPr>
        <w:t xml:space="preserve"> </w:t>
      </w:r>
      <w:r w:rsidR="000E7F0E" w:rsidRPr="00386A3E">
        <w:rPr>
          <w:rFonts w:cstheme="minorHAnsi"/>
          <w:b/>
          <w:bCs/>
          <w:sz w:val="28"/>
          <w:szCs w:val="28"/>
        </w:rPr>
        <w:t>APPROVATO IL BILANCIO 2021</w:t>
      </w:r>
    </w:p>
    <w:p w14:paraId="37F93771" w14:textId="45E5CBF4" w:rsidR="008444CD" w:rsidRPr="00386A3E" w:rsidRDefault="008444CD" w:rsidP="000E7F0E">
      <w:pPr>
        <w:pStyle w:val="Paragrafoelenco"/>
        <w:numPr>
          <w:ilvl w:val="0"/>
          <w:numId w:val="3"/>
        </w:numPr>
        <w:autoSpaceDE w:val="0"/>
        <w:autoSpaceDN w:val="0"/>
        <w:adjustRightInd w:val="0"/>
        <w:spacing w:line="276" w:lineRule="auto"/>
        <w:rPr>
          <w:rFonts w:cstheme="minorHAnsi"/>
          <w:b/>
          <w:bCs/>
          <w:i/>
          <w:iCs/>
          <w:sz w:val="28"/>
          <w:szCs w:val="28"/>
        </w:rPr>
      </w:pPr>
      <w:r w:rsidRPr="00386A3E">
        <w:rPr>
          <w:rFonts w:ascii="Arial" w:hAnsi="Arial" w:cs="Arial"/>
          <w:i/>
          <w:iCs/>
          <w:shd w:val="clear" w:color="auto" w:fill="FFFFFF"/>
        </w:rPr>
        <w:t>Volume di nuovi crediti acquistati pari a 120 milioni di Euro</w:t>
      </w:r>
    </w:p>
    <w:p w14:paraId="7ED12775" w14:textId="7D36041C" w:rsidR="000E7F0E" w:rsidRPr="00386A3E" w:rsidRDefault="008444CD" w:rsidP="000E7F0E">
      <w:pPr>
        <w:pStyle w:val="Paragrafoelenco"/>
        <w:numPr>
          <w:ilvl w:val="0"/>
          <w:numId w:val="3"/>
        </w:numPr>
        <w:autoSpaceDE w:val="0"/>
        <w:autoSpaceDN w:val="0"/>
        <w:adjustRightInd w:val="0"/>
        <w:spacing w:line="276" w:lineRule="auto"/>
        <w:rPr>
          <w:rFonts w:cstheme="minorHAnsi"/>
          <w:b/>
          <w:bCs/>
          <w:i/>
          <w:iCs/>
          <w:sz w:val="28"/>
          <w:szCs w:val="28"/>
        </w:rPr>
      </w:pPr>
      <w:r w:rsidRPr="00386A3E">
        <w:rPr>
          <w:rFonts w:ascii="Arial" w:hAnsi="Arial" w:cs="Arial"/>
          <w:i/>
          <w:iCs/>
          <w:shd w:val="clear" w:color="auto" w:fill="FFFFFF"/>
        </w:rPr>
        <w:t>U</w:t>
      </w:r>
      <w:r w:rsidR="000E7F0E" w:rsidRPr="00386A3E">
        <w:rPr>
          <w:rFonts w:ascii="Arial" w:hAnsi="Arial" w:cs="Arial"/>
          <w:i/>
          <w:iCs/>
          <w:shd w:val="clear" w:color="auto" w:fill="FFFFFF"/>
        </w:rPr>
        <w:t xml:space="preserve">tile netto d’esercizio consolidato a </w:t>
      </w:r>
      <w:r w:rsidR="00426185" w:rsidRPr="00386A3E">
        <w:rPr>
          <w:rFonts w:ascii="Arial" w:hAnsi="Arial" w:cs="Arial"/>
          <w:i/>
          <w:iCs/>
          <w:shd w:val="clear" w:color="auto" w:fill="FFFFFF"/>
        </w:rPr>
        <w:t>14.</w:t>
      </w:r>
      <w:r w:rsidR="009C2BE1">
        <w:rPr>
          <w:rFonts w:ascii="Arial" w:hAnsi="Arial" w:cs="Arial"/>
          <w:i/>
          <w:iCs/>
          <w:shd w:val="clear" w:color="auto" w:fill="FFFFFF"/>
        </w:rPr>
        <w:t>4</w:t>
      </w:r>
      <w:r w:rsidR="00426185" w:rsidRPr="00386A3E">
        <w:rPr>
          <w:rFonts w:ascii="Arial" w:hAnsi="Arial" w:cs="Arial"/>
          <w:i/>
          <w:iCs/>
          <w:shd w:val="clear" w:color="auto" w:fill="FFFFFF"/>
        </w:rPr>
        <w:t xml:space="preserve"> </w:t>
      </w:r>
      <w:r w:rsidR="000E7F0E" w:rsidRPr="00386A3E">
        <w:rPr>
          <w:rFonts w:ascii="Arial" w:hAnsi="Arial" w:cs="Arial"/>
          <w:i/>
          <w:iCs/>
          <w:shd w:val="clear" w:color="auto" w:fill="FFFFFF"/>
        </w:rPr>
        <w:t>milioni di Euro</w:t>
      </w:r>
    </w:p>
    <w:p w14:paraId="57792E0E" w14:textId="282C64D0" w:rsidR="008444CD" w:rsidRPr="00386A3E" w:rsidRDefault="008444CD" w:rsidP="000E7F0E">
      <w:pPr>
        <w:pStyle w:val="Paragrafoelenco"/>
        <w:numPr>
          <w:ilvl w:val="0"/>
          <w:numId w:val="3"/>
        </w:numPr>
        <w:autoSpaceDE w:val="0"/>
        <w:autoSpaceDN w:val="0"/>
        <w:adjustRightInd w:val="0"/>
        <w:spacing w:line="276" w:lineRule="auto"/>
        <w:rPr>
          <w:rFonts w:cstheme="minorHAnsi"/>
          <w:b/>
          <w:bCs/>
          <w:i/>
          <w:iCs/>
          <w:sz w:val="28"/>
          <w:szCs w:val="28"/>
        </w:rPr>
      </w:pPr>
      <w:r w:rsidRPr="00386A3E">
        <w:rPr>
          <w:rFonts w:ascii="Arial" w:hAnsi="Arial" w:cs="Arial"/>
          <w:i/>
          <w:iCs/>
          <w:shd w:val="clear" w:color="auto" w:fill="FFFFFF"/>
        </w:rPr>
        <w:t>D</w:t>
      </w:r>
      <w:r w:rsidR="000E7F0E" w:rsidRPr="00386A3E">
        <w:rPr>
          <w:rFonts w:ascii="Arial" w:hAnsi="Arial" w:cs="Arial"/>
          <w:i/>
          <w:iCs/>
          <w:shd w:val="clear" w:color="auto" w:fill="FFFFFF"/>
        </w:rPr>
        <w:t>istribuito un dividendo ai soci di 11 milioni ad Euro</w:t>
      </w:r>
      <w:r w:rsidR="00426185" w:rsidRPr="00386A3E">
        <w:rPr>
          <w:rFonts w:ascii="Arial" w:hAnsi="Arial" w:cs="Arial"/>
          <w:i/>
          <w:iCs/>
          <w:shd w:val="clear" w:color="auto" w:fill="FFFFFF"/>
        </w:rPr>
        <w:t xml:space="preserve"> a fine 2021</w:t>
      </w:r>
    </w:p>
    <w:p w14:paraId="40BD2C67" w14:textId="610C329B" w:rsidR="008444CD" w:rsidRPr="00386A3E" w:rsidRDefault="008444CD" w:rsidP="008444CD">
      <w:pPr>
        <w:pStyle w:val="Paragrafoelenco"/>
        <w:numPr>
          <w:ilvl w:val="0"/>
          <w:numId w:val="3"/>
        </w:numPr>
        <w:autoSpaceDE w:val="0"/>
        <w:autoSpaceDN w:val="0"/>
        <w:adjustRightInd w:val="0"/>
        <w:spacing w:line="276" w:lineRule="auto"/>
        <w:rPr>
          <w:rFonts w:cstheme="minorHAnsi"/>
          <w:b/>
          <w:bCs/>
          <w:i/>
          <w:iCs/>
          <w:sz w:val="28"/>
          <w:szCs w:val="28"/>
        </w:rPr>
      </w:pPr>
      <w:r w:rsidRPr="00386A3E">
        <w:rPr>
          <w:rFonts w:ascii="Arial" w:hAnsi="Arial" w:cs="Arial"/>
          <w:i/>
          <w:iCs/>
          <w:shd w:val="clear" w:color="auto" w:fill="FFFFFF"/>
        </w:rPr>
        <w:t>Nel 2021 il lancio di due nuovi progetti per la gestione di portafogli di UTP granulari</w:t>
      </w:r>
    </w:p>
    <w:p w14:paraId="7D54BE39" w14:textId="10F5C9A8" w:rsidR="007045FB" w:rsidRPr="00386A3E" w:rsidRDefault="007045FB" w:rsidP="007045FB">
      <w:pPr>
        <w:pStyle w:val="xmsonormal"/>
        <w:jc w:val="both"/>
      </w:pPr>
      <w:r w:rsidRPr="00386A3E">
        <w:rPr>
          <w:rFonts w:ascii="Arial" w:hAnsi="Arial" w:cs="Arial"/>
          <w:i/>
          <w:iCs/>
          <w:shd w:val="clear" w:color="auto" w:fill="FFFFFF"/>
        </w:rPr>
        <w:t>Roma, 27 aprile 2022</w:t>
      </w:r>
      <w:r w:rsidRPr="00386A3E">
        <w:rPr>
          <w:rFonts w:ascii="Arial" w:hAnsi="Arial" w:cs="Arial"/>
          <w:shd w:val="clear" w:color="auto" w:fill="FFFFFF"/>
        </w:rPr>
        <w:t xml:space="preserve"> - L’assemblea dei soci di </w:t>
      </w:r>
      <w:r w:rsidRPr="00386A3E">
        <w:rPr>
          <w:rFonts w:ascii="Arial" w:hAnsi="Arial" w:cs="Arial"/>
          <w:b/>
          <w:bCs/>
          <w:shd w:val="clear" w:color="auto" w:fill="FFFFFF"/>
        </w:rPr>
        <w:t>Officine CST</w:t>
      </w:r>
      <w:r w:rsidR="008444CD" w:rsidRPr="00386A3E">
        <w:rPr>
          <w:rFonts w:ascii="Arial" w:hAnsi="Arial" w:cs="Arial"/>
          <w:shd w:val="clear" w:color="auto" w:fill="FFFFFF"/>
        </w:rPr>
        <w:t xml:space="preserve"> riunitosi</w:t>
      </w:r>
      <w:r w:rsidRPr="00386A3E">
        <w:rPr>
          <w:rFonts w:ascii="Arial" w:hAnsi="Arial" w:cs="Arial"/>
          <w:shd w:val="clear" w:color="auto" w:fill="FFFFFF"/>
        </w:rPr>
        <w:t xml:space="preserve"> in data odierna, ha approvato il bilancio civilistico e consolidato del Gruppo, relativo all’</w:t>
      </w:r>
      <w:r w:rsidRPr="00386A3E">
        <w:rPr>
          <w:rFonts w:ascii="Arial" w:hAnsi="Arial" w:cs="Arial"/>
          <w:b/>
          <w:bCs/>
          <w:shd w:val="clear" w:color="auto" w:fill="FFFFFF"/>
        </w:rPr>
        <w:t>esercizio 2021</w:t>
      </w:r>
      <w:r w:rsidRPr="00386A3E">
        <w:rPr>
          <w:rFonts w:ascii="Arial" w:hAnsi="Arial" w:cs="Arial"/>
          <w:shd w:val="clear" w:color="auto" w:fill="FFFFFF"/>
        </w:rPr>
        <w:t xml:space="preserve">, che </w:t>
      </w:r>
      <w:r w:rsidRPr="00386A3E">
        <w:rPr>
          <w:rFonts w:ascii="Arial" w:hAnsi="Arial" w:cs="Arial"/>
          <w:b/>
          <w:bCs/>
          <w:shd w:val="clear" w:color="auto" w:fill="FFFFFF"/>
        </w:rPr>
        <w:t>conferma il trend positivo della piattaforma di investimento</w:t>
      </w:r>
      <w:r w:rsidRPr="00386A3E">
        <w:rPr>
          <w:rFonts w:ascii="Arial" w:hAnsi="Arial" w:cs="Arial"/>
          <w:shd w:val="clear" w:color="auto" w:fill="FFFFFF"/>
        </w:rPr>
        <w:t xml:space="preserve"> di proprietà del fondo </w:t>
      </w:r>
      <w:proofErr w:type="spellStart"/>
      <w:r w:rsidRPr="00386A3E">
        <w:rPr>
          <w:rFonts w:ascii="Arial" w:hAnsi="Arial" w:cs="Arial"/>
          <w:shd w:val="clear" w:color="auto" w:fill="FFFFFF"/>
        </w:rPr>
        <w:t>Cerberus</w:t>
      </w:r>
      <w:proofErr w:type="spellEnd"/>
      <w:r w:rsidRPr="00386A3E">
        <w:rPr>
          <w:rFonts w:ascii="Arial" w:hAnsi="Arial" w:cs="Arial"/>
          <w:shd w:val="clear" w:color="auto" w:fill="FFFFFF"/>
        </w:rPr>
        <w:t xml:space="preserve"> presieduta da Roberto Nicastro.</w:t>
      </w:r>
    </w:p>
    <w:p w14:paraId="37127F9A" w14:textId="2929B013" w:rsidR="007045FB" w:rsidRPr="00386A3E" w:rsidRDefault="007045FB" w:rsidP="007045FB">
      <w:pPr>
        <w:pStyle w:val="xmsonormal"/>
        <w:jc w:val="both"/>
      </w:pPr>
      <w:r w:rsidRPr="00386A3E">
        <w:rPr>
          <w:rFonts w:ascii="Arial" w:hAnsi="Arial" w:cs="Arial"/>
          <w:shd w:val="clear" w:color="auto" w:fill="FFFFFF"/>
        </w:rPr>
        <w:t>In dettaglio, l’</w:t>
      </w:r>
      <w:r w:rsidRPr="00386A3E">
        <w:rPr>
          <w:rFonts w:ascii="Arial" w:hAnsi="Arial" w:cs="Arial"/>
          <w:b/>
          <w:bCs/>
          <w:shd w:val="clear" w:color="auto" w:fill="FFFFFF"/>
        </w:rPr>
        <w:t xml:space="preserve">utile netto d’esercizio a livello consolidato ha </w:t>
      </w:r>
      <w:r w:rsidR="009C2BE1">
        <w:rPr>
          <w:rFonts w:ascii="Arial" w:hAnsi="Arial" w:cs="Arial"/>
          <w:b/>
          <w:bCs/>
          <w:shd w:val="clear" w:color="auto" w:fill="FFFFFF"/>
        </w:rPr>
        <w:t>superato</w:t>
      </w:r>
      <w:r w:rsidRPr="00386A3E">
        <w:rPr>
          <w:rFonts w:ascii="Arial" w:hAnsi="Arial" w:cs="Arial"/>
          <w:b/>
          <w:bCs/>
          <w:shd w:val="clear" w:color="auto" w:fill="FFFFFF"/>
        </w:rPr>
        <w:t xml:space="preserve"> i 1</w:t>
      </w:r>
      <w:r w:rsidR="009C2BE1">
        <w:rPr>
          <w:rFonts w:ascii="Arial" w:hAnsi="Arial" w:cs="Arial"/>
          <w:b/>
          <w:bCs/>
          <w:shd w:val="clear" w:color="auto" w:fill="FFFFFF"/>
        </w:rPr>
        <w:t>4</w:t>
      </w:r>
      <w:r w:rsidRPr="00386A3E">
        <w:rPr>
          <w:rFonts w:ascii="Arial" w:hAnsi="Arial" w:cs="Arial"/>
          <w:b/>
          <w:bCs/>
          <w:shd w:val="clear" w:color="auto" w:fill="FFFFFF"/>
        </w:rPr>
        <w:t xml:space="preserve"> milioni di Euro</w:t>
      </w:r>
      <w:r w:rsidR="004D66DD" w:rsidRPr="00386A3E">
        <w:rPr>
          <w:rFonts w:ascii="Arial" w:hAnsi="Arial" w:cs="Arial"/>
          <w:shd w:val="clear" w:color="auto" w:fill="FFFFFF"/>
        </w:rPr>
        <w:t xml:space="preserve">, </w:t>
      </w:r>
      <w:r w:rsidRPr="00386A3E">
        <w:rPr>
          <w:rFonts w:ascii="Arial" w:hAnsi="Arial" w:cs="Arial"/>
          <w:shd w:val="clear" w:color="auto" w:fill="FFFFFF"/>
        </w:rPr>
        <w:t xml:space="preserve">mentre il </w:t>
      </w:r>
      <w:r w:rsidRPr="00386A3E">
        <w:rPr>
          <w:rFonts w:ascii="Arial" w:hAnsi="Arial" w:cs="Arial"/>
          <w:b/>
          <w:bCs/>
          <w:shd w:val="clear" w:color="auto" w:fill="FFFFFF"/>
        </w:rPr>
        <w:t>patrimonio netto ha raggiunto quota 51 milioni di Euro</w:t>
      </w:r>
      <w:r w:rsidRPr="00386A3E">
        <w:rPr>
          <w:rFonts w:ascii="Arial" w:hAnsi="Arial" w:cs="Arial"/>
          <w:shd w:val="clear" w:color="auto" w:fill="FFFFFF"/>
        </w:rPr>
        <w:t xml:space="preserve">, rispetto ai 47 milioni di Euro del 2020.Tra i due esercizi è stato peraltro </w:t>
      </w:r>
      <w:bookmarkStart w:id="0" w:name="_Hlk101881794"/>
      <w:r w:rsidRPr="00386A3E">
        <w:rPr>
          <w:rFonts w:ascii="Arial" w:hAnsi="Arial" w:cs="Arial"/>
          <w:shd w:val="clear" w:color="auto" w:fill="FFFFFF"/>
        </w:rPr>
        <w:t>distribuito un dividendo ai soci pari ad Euro 11 milioni</w:t>
      </w:r>
      <w:bookmarkEnd w:id="0"/>
      <w:r w:rsidRPr="00386A3E">
        <w:rPr>
          <w:rFonts w:ascii="Arial" w:hAnsi="Arial" w:cs="Arial"/>
          <w:shd w:val="clear" w:color="auto" w:fill="FFFFFF"/>
        </w:rPr>
        <w:t xml:space="preserve">. </w:t>
      </w:r>
    </w:p>
    <w:p w14:paraId="5BB60A30" w14:textId="71A04EFF" w:rsidR="007045FB" w:rsidRPr="00386A3E" w:rsidRDefault="007045FB" w:rsidP="004D66DD">
      <w:pPr>
        <w:pStyle w:val="xmsonormal"/>
        <w:jc w:val="both"/>
        <w:rPr>
          <w:rFonts w:ascii="Arial" w:hAnsi="Arial" w:cs="Arial"/>
          <w:shd w:val="clear" w:color="auto" w:fill="FFFFFF"/>
        </w:rPr>
      </w:pPr>
      <w:r w:rsidRPr="00386A3E">
        <w:rPr>
          <w:rFonts w:ascii="Arial" w:hAnsi="Arial" w:cs="Arial"/>
          <w:shd w:val="clear" w:color="auto" w:fill="FFFFFF"/>
        </w:rPr>
        <w:t xml:space="preserve">L’attività di investimento ha trainato il risultato positivo portando il </w:t>
      </w:r>
      <w:bookmarkStart w:id="1" w:name="_Hlk101881830"/>
      <w:r w:rsidRPr="00386A3E">
        <w:rPr>
          <w:rFonts w:ascii="Arial" w:hAnsi="Arial" w:cs="Arial"/>
          <w:b/>
          <w:bCs/>
          <w:shd w:val="clear" w:color="auto" w:fill="FFFFFF"/>
        </w:rPr>
        <w:t>portafoglio di crediti acquistati a 54 milioni di Euro</w:t>
      </w:r>
      <w:r w:rsidRPr="00386A3E">
        <w:rPr>
          <w:rFonts w:ascii="Arial" w:hAnsi="Arial" w:cs="Arial"/>
          <w:shd w:val="clear" w:color="auto" w:fill="FFFFFF"/>
        </w:rPr>
        <w:t xml:space="preserve"> al 31 dicembre 2021 </w:t>
      </w:r>
      <w:bookmarkEnd w:id="1"/>
      <w:r w:rsidRPr="00386A3E">
        <w:rPr>
          <w:rFonts w:ascii="Arial" w:hAnsi="Arial" w:cs="Arial"/>
          <w:shd w:val="clear" w:color="auto" w:fill="FFFFFF"/>
        </w:rPr>
        <w:t xml:space="preserve">rispetto ai 38 milioni </w:t>
      </w:r>
      <w:r w:rsidR="008444CD" w:rsidRPr="00386A3E">
        <w:rPr>
          <w:rFonts w:ascii="Arial" w:hAnsi="Arial" w:cs="Arial"/>
          <w:shd w:val="clear" w:color="auto" w:fill="FFFFFF"/>
        </w:rPr>
        <w:t xml:space="preserve">di Euro </w:t>
      </w:r>
      <w:r w:rsidRPr="00386A3E">
        <w:rPr>
          <w:rFonts w:ascii="Arial" w:hAnsi="Arial" w:cs="Arial"/>
          <w:shd w:val="clear" w:color="auto" w:fill="FFFFFF"/>
        </w:rPr>
        <w:t xml:space="preserve">del 2020, con un </w:t>
      </w:r>
      <w:bookmarkStart w:id="2" w:name="_Hlk101882010"/>
      <w:r w:rsidRPr="00386A3E">
        <w:rPr>
          <w:rFonts w:ascii="Arial" w:hAnsi="Arial" w:cs="Arial"/>
          <w:shd w:val="clear" w:color="auto" w:fill="FFFFFF"/>
        </w:rPr>
        <w:t xml:space="preserve">volume di </w:t>
      </w:r>
      <w:r w:rsidRPr="00386A3E">
        <w:rPr>
          <w:rFonts w:ascii="Arial" w:hAnsi="Arial" w:cs="Arial"/>
          <w:b/>
          <w:bCs/>
          <w:shd w:val="clear" w:color="auto" w:fill="FFFFFF"/>
        </w:rPr>
        <w:t>nuovi crediti acquistati pari a 120 milioni di Euro</w:t>
      </w:r>
      <w:bookmarkEnd w:id="2"/>
      <w:r w:rsidRPr="00386A3E">
        <w:rPr>
          <w:rFonts w:ascii="Arial" w:hAnsi="Arial" w:cs="Arial"/>
          <w:shd w:val="clear" w:color="auto" w:fill="FFFFFF"/>
        </w:rPr>
        <w:t xml:space="preserve">. Apprezzabili anche i risultati del </w:t>
      </w:r>
      <w:proofErr w:type="spellStart"/>
      <w:r w:rsidRPr="00386A3E">
        <w:rPr>
          <w:rFonts w:ascii="Arial" w:hAnsi="Arial" w:cs="Arial"/>
          <w:shd w:val="clear" w:color="auto" w:fill="FFFFFF"/>
        </w:rPr>
        <w:t>servicing</w:t>
      </w:r>
      <w:proofErr w:type="spellEnd"/>
      <w:r w:rsidRPr="00386A3E">
        <w:rPr>
          <w:rFonts w:ascii="Arial" w:hAnsi="Arial" w:cs="Arial"/>
          <w:shd w:val="clear" w:color="auto" w:fill="FFFFFF"/>
        </w:rPr>
        <w:t xml:space="preserve">, dove è proseguita la diversificazione della base di clientela nei segmenti utilities, telco, automotive e bancario/finanziario, con il lancio di due nuovi progetti per la gestione di portafogli di UTP granulari. Infine, nell’ambito dell’attività di strutturazione e gestione di operazioni di investimento da parte di banche e altri investitori istituzionali, sono stati avviati </w:t>
      </w:r>
      <w:bookmarkStart w:id="3" w:name="_Hlk101882085"/>
      <w:r w:rsidRPr="00386A3E">
        <w:rPr>
          <w:rFonts w:ascii="Arial" w:hAnsi="Arial" w:cs="Arial"/>
          <w:shd w:val="clear" w:color="auto" w:fill="FFFFFF"/>
        </w:rPr>
        <w:t>nuovi progetti che hanno consentito di raggiungere un volume intermediato annuo di Euro 120 milioni.</w:t>
      </w:r>
      <w:r w:rsidR="008444CD" w:rsidRPr="00386A3E">
        <w:rPr>
          <w:rFonts w:ascii="Arial" w:hAnsi="Arial" w:cs="Arial"/>
          <w:shd w:val="clear" w:color="auto" w:fill="FFFFFF"/>
        </w:rPr>
        <w:t xml:space="preserve"> </w:t>
      </w:r>
    </w:p>
    <w:bookmarkEnd w:id="3"/>
    <w:p w14:paraId="71B1CC12" w14:textId="77777777" w:rsidR="007045FB" w:rsidRPr="00386A3E" w:rsidRDefault="007045FB" w:rsidP="007045FB">
      <w:pPr>
        <w:pStyle w:val="xmsonormal"/>
        <w:jc w:val="both"/>
      </w:pPr>
      <w:r w:rsidRPr="00386A3E">
        <w:rPr>
          <w:rFonts w:ascii="Arial" w:hAnsi="Arial" w:cs="Arial"/>
          <w:shd w:val="clear" w:color="auto" w:fill="FFFFFF"/>
        </w:rPr>
        <w:t xml:space="preserve">Nata per gestire i crediti verso la PA (tuttora parte del business, principalmente per conto di grandi aziende), Officine CST opera a 360° nel ciclo del credito: </w:t>
      </w:r>
      <w:proofErr w:type="spellStart"/>
      <w:r w:rsidRPr="00386A3E">
        <w:rPr>
          <w:rFonts w:ascii="Arial" w:hAnsi="Arial" w:cs="Arial"/>
          <w:shd w:val="clear" w:color="auto" w:fill="FFFFFF"/>
        </w:rPr>
        <w:t>origination</w:t>
      </w:r>
      <w:proofErr w:type="spellEnd"/>
      <w:r w:rsidRPr="00386A3E">
        <w:rPr>
          <w:rFonts w:ascii="Arial" w:hAnsi="Arial" w:cs="Arial"/>
          <w:shd w:val="clear" w:color="auto" w:fill="FFFFFF"/>
        </w:rPr>
        <w:t xml:space="preserve"> e strutturazione di operazioni di cartolarizzazione di credito commerciale (anche sfruttando le piattaforme fintech interne), </w:t>
      </w:r>
      <w:proofErr w:type="spellStart"/>
      <w:r w:rsidRPr="00386A3E">
        <w:rPr>
          <w:rFonts w:ascii="Arial" w:hAnsi="Arial" w:cs="Arial"/>
          <w:shd w:val="clear" w:color="auto" w:fill="FFFFFF"/>
        </w:rPr>
        <w:t>servicing</w:t>
      </w:r>
      <w:proofErr w:type="spellEnd"/>
      <w:r w:rsidRPr="00386A3E">
        <w:rPr>
          <w:rFonts w:ascii="Arial" w:hAnsi="Arial" w:cs="Arial"/>
          <w:shd w:val="clear" w:color="auto" w:fill="FFFFFF"/>
        </w:rPr>
        <w:t xml:space="preserve"> di portafogli di crediti sia performing che deteriorati, acquisto diretto di crediti deteriorati (circa 700 milioni acquisiti dal 2018, anno di avvio di questa attività, la maggior parte proprio nei confronti di Pubbliche Amministrazioni con ritardi cronici di pagamento).</w:t>
      </w:r>
    </w:p>
    <w:p w14:paraId="4CEEB950" w14:textId="1EF95D69" w:rsidR="007045FB" w:rsidRPr="00386A3E" w:rsidRDefault="007045FB" w:rsidP="007045FB">
      <w:pPr>
        <w:pStyle w:val="xmsonormal"/>
        <w:jc w:val="both"/>
        <w:rPr>
          <w:rFonts w:ascii="Arial" w:hAnsi="Arial" w:cs="Arial"/>
          <w:shd w:val="clear" w:color="auto" w:fill="FFFFFF"/>
        </w:rPr>
      </w:pPr>
      <w:r w:rsidRPr="00386A3E">
        <w:rPr>
          <w:rFonts w:ascii="Arial" w:hAnsi="Arial" w:cs="Arial"/>
          <w:shd w:val="clear" w:color="auto" w:fill="FFFFFF"/>
        </w:rPr>
        <w:t>“</w:t>
      </w:r>
      <w:r w:rsidRPr="00386A3E">
        <w:rPr>
          <w:rFonts w:ascii="Arial" w:hAnsi="Arial" w:cs="Arial"/>
          <w:i/>
          <w:iCs/>
          <w:shd w:val="clear" w:color="auto" w:fill="FFFFFF"/>
        </w:rPr>
        <w:t>Quello che ci aspettiamo per i prossimi mesi</w:t>
      </w:r>
      <w:r w:rsidRPr="00386A3E">
        <w:rPr>
          <w:rFonts w:ascii="Arial" w:hAnsi="Arial" w:cs="Arial"/>
          <w:shd w:val="clear" w:color="auto" w:fill="FFFFFF"/>
        </w:rPr>
        <w:t xml:space="preserve">, - ha dichiarato </w:t>
      </w:r>
      <w:r w:rsidRPr="00386A3E">
        <w:rPr>
          <w:rFonts w:ascii="Arial" w:hAnsi="Arial" w:cs="Arial"/>
          <w:b/>
          <w:bCs/>
          <w:shd w:val="clear" w:color="auto" w:fill="FFFFFF"/>
        </w:rPr>
        <w:t>Paolo Gesa, CEO di Officine CST</w:t>
      </w:r>
      <w:r w:rsidRPr="00386A3E">
        <w:rPr>
          <w:rFonts w:ascii="Arial" w:hAnsi="Arial" w:cs="Arial"/>
          <w:shd w:val="clear" w:color="auto" w:fill="FFFFFF"/>
        </w:rPr>
        <w:t xml:space="preserve"> - </w:t>
      </w:r>
      <w:r w:rsidRPr="00386A3E">
        <w:rPr>
          <w:rFonts w:ascii="Arial" w:hAnsi="Arial" w:cs="Arial"/>
          <w:i/>
          <w:iCs/>
          <w:shd w:val="clear" w:color="auto" w:fill="FFFFFF"/>
        </w:rPr>
        <w:t>ed in parte abbiamo già visto nel primo trimestre, è un maggior ricorso alla cessione del credito da parte delle imprese per evitare ritardi di pagamento e ridurre il rischio di credito. In uno scenario di tassi in aumento, maggior incertezza sulla solvibilità dei propri clienti e aumento del costo dell’energia, sta tornando prioritario per le imprese concentrarsi sui propri crediti, e questo può tradursi in un volano per la crescita del nostro business, che è incentrato nel fornire apprezzate soluzioni di ottimizzazione del working capital</w:t>
      </w:r>
      <w:r w:rsidRPr="00386A3E">
        <w:rPr>
          <w:rFonts w:ascii="Arial" w:hAnsi="Arial" w:cs="Arial"/>
          <w:shd w:val="clear" w:color="auto" w:fill="FFFFFF"/>
        </w:rPr>
        <w:t>.”</w:t>
      </w:r>
    </w:p>
    <w:p w14:paraId="5F814CD9" w14:textId="41792587" w:rsidR="00B82376" w:rsidRPr="00386A3E" w:rsidRDefault="00B82376" w:rsidP="00B82376">
      <w:pPr>
        <w:pStyle w:val="xmsonormal"/>
        <w:jc w:val="center"/>
        <w:rPr>
          <w:b/>
          <w:bCs/>
        </w:rPr>
      </w:pPr>
      <w:r w:rsidRPr="00386A3E">
        <w:rPr>
          <w:rFonts w:ascii="Arial" w:hAnsi="Arial" w:cs="Arial"/>
          <w:b/>
          <w:bCs/>
          <w:shd w:val="clear" w:color="auto" w:fill="FFFFFF"/>
        </w:rPr>
        <w:t>***</w:t>
      </w:r>
    </w:p>
    <w:p w14:paraId="3F3A253F" w14:textId="77777777" w:rsidR="007045FB" w:rsidRDefault="00091923" w:rsidP="007045FB">
      <w:pPr>
        <w:spacing w:after="0"/>
        <w:jc w:val="both"/>
        <w:rPr>
          <w:rFonts w:eastAsia="Times New Roman"/>
          <w:b/>
          <w:sz w:val="16"/>
          <w:szCs w:val="16"/>
        </w:rPr>
      </w:pPr>
      <w:r w:rsidRPr="00525678">
        <w:rPr>
          <w:rFonts w:eastAsia="Times New Roman"/>
          <w:b/>
          <w:sz w:val="16"/>
          <w:szCs w:val="16"/>
        </w:rPr>
        <w:t>Officine CST</w:t>
      </w:r>
    </w:p>
    <w:p w14:paraId="2B51B59B" w14:textId="34B3AEFD" w:rsidR="00091923" w:rsidRPr="007045FB" w:rsidRDefault="00091923" w:rsidP="007045FB">
      <w:pPr>
        <w:spacing w:after="0"/>
        <w:jc w:val="both"/>
        <w:rPr>
          <w:rFonts w:eastAsia="Times New Roman"/>
          <w:b/>
          <w:sz w:val="16"/>
          <w:szCs w:val="16"/>
        </w:rPr>
      </w:pPr>
      <w:r w:rsidRPr="00525678">
        <w:rPr>
          <w:rFonts w:eastAsia="Times New Roman"/>
          <w:sz w:val="16"/>
          <w:szCs w:val="16"/>
        </w:rPr>
        <w:t xml:space="preserve">Il Gruppo OFFICINE CST S.P.A. Officine CST S.p.A. nasce nel 2004 con la finalità di fornire a Banche, Investitori istituzionali, Utilities e Aziende Multinazionali un servizio integrato di management del credito, avvalendosi di professionisti altamente specializzati e di piattaforme informatiche progettate e sviluppate dalla propria divisione IT. </w:t>
      </w:r>
      <w:r>
        <w:rPr>
          <w:rFonts w:eastAsia="Times New Roman"/>
          <w:sz w:val="16"/>
          <w:szCs w:val="16"/>
        </w:rPr>
        <w:t xml:space="preserve">L’azienda, attraverso metodologie e piattaforme all’avanguardia, è in grado di gestire una ampia gamma di tipologie di crediti sia </w:t>
      </w:r>
      <w:r w:rsidRPr="00827600">
        <w:rPr>
          <w:rFonts w:eastAsia="Times New Roman"/>
          <w:sz w:val="16"/>
          <w:szCs w:val="16"/>
        </w:rPr>
        <w:t xml:space="preserve">performing che non performing tra cui crediti vantati verso Pubbliche amministrazioni, crediti derivanti da forniture retail e corporate, crediti da procedure concorsuali e crediti non performing bancari (cosiddetti NPL). La Società può contare su una significativa esperienza nel settore, con oltre </w:t>
      </w:r>
      <w:r w:rsidR="00BB0162">
        <w:rPr>
          <w:rFonts w:eastAsia="Times New Roman"/>
          <w:sz w:val="16"/>
          <w:szCs w:val="16"/>
        </w:rPr>
        <w:t>20</w:t>
      </w:r>
      <w:r w:rsidRPr="00827600">
        <w:rPr>
          <w:rFonts w:eastAsia="Times New Roman"/>
          <w:sz w:val="16"/>
          <w:szCs w:val="16"/>
        </w:rPr>
        <w:t xml:space="preserve"> miliardi di euro di crediti gestiti per conto di</w:t>
      </w:r>
      <w:r w:rsidRPr="00525678">
        <w:rPr>
          <w:rFonts w:eastAsia="Times New Roman"/>
          <w:sz w:val="16"/>
          <w:szCs w:val="16"/>
        </w:rPr>
        <w:t xml:space="preserve"> 8.000 aziende di diversi settori e ha progettato e sviluppato oltre 80 piattaforme proprietarie denominate WIF – Web Internet</w:t>
      </w:r>
      <w:r>
        <w:rPr>
          <w:rFonts w:eastAsia="Times New Roman"/>
          <w:sz w:val="16"/>
          <w:szCs w:val="16"/>
        </w:rPr>
        <w:t xml:space="preserve"> </w:t>
      </w:r>
      <w:r w:rsidRPr="00525678">
        <w:rPr>
          <w:rFonts w:eastAsia="Times New Roman"/>
          <w:sz w:val="16"/>
          <w:szCs w:val="16"/>
        </w:rPr>
        <w:t>Framework. La Società offre, inoltre, servizi di management del credito in outsourcing alle Piccole e Medie Imprese e vanta rapporti consolidati con primarie banche e Investitori italiani ed esteri, oltre che con circa 1</w:t>
      </w:r>
      <w:r w:rsidR="00BB0162">
        <w:rPr>
          <w:rFonts w:eastAsia="Times New Roman"/>
          <w:sz w:val="16"/>
          <w:szCs w:val="16"/>
        </w:rPr>
        <w:t>2</w:t>
      </w:r>
      <w:r w:rsidRPr="00525678">
        <w:rPr>
          <w:rFonts w:eastAsia="Times New Roman"/>
          <w:sz w:val="16"/>
          <w:szCs w:val="16"/>
        </w:rPr>
        <w:t>.000 controparti pubbliche.</w:t>
      </w:r>
    </w:p>
    <w:p w14:paraId="686901BB" w14:textId="4B806FC4" w:rsidR="00E86363" w:rsidRPr="000B6CAD" w:rsidRDefault="00091923" w:rsidP="000B6CAD">
      <w:pPr>
        <w:autoSpaceDE w:val="0"/>
        <w:autoSpaceDN w:val="0"/>
        <w:adjustRightInd w:val="0"/>
        <w:spacing w:before="120" w:after="120"/>
        <w:rPr>
          <w:b/>
          <w:bCs/>
          <w:color w:val="000000"/>
          <w:sz w:val="16"/>
          <w:szCs w:val="16"/>
        </w:rPr>
      </w:pPr>
      <w:r w:rsidRPr="00747EF9">
        <w:rPr>
          <w:b/>
          <w:bCs/>
          <w:color w:val="000000"/>
          <w:sz w:val="16"/>
          <w:szCs w:val="16"/>
        </w:rPr>
        <w:t xml:space="preserve">Per informazioni: </w:t>
      </w:r>
      <w:r w:rsidR="000B6CAD">
        <w:rPr>
          <w:b/>
          <w:bCs/>
          <w:color w:val="000000"/>
          <w:sz w:val="16"/>
          <w:szCs w:val="16"/>
        </w:rPr>
        <w:br/>
      </w:r>
      <w:r w:rsidRPr="00747EF9">
        <w:rPr>
          <w:color w:val="000000"/>
          <w:sz w:val="16"/>
          <w:szCs w:val="16"/>
        </w:rPr>
        <w:t xml:space="preserve">Close to Media – </w:t>
      </w:r>
      <w:r w:rsidRPr="00747EF9">
        <w:rPr>
          <w:i/>
          <w:iCs/>
          <w:color w:val="000000"/>
          <w:sz w:val="16"/>
          <w:szCs w:val="16"/>
        </w:rPr>
        <w:t xml:space="preserve">società fondata da Elisabetta Neuhoff </w:t>
      </w:r>
      <w:r w:rsidR="001B1089">
        <w:rPr>
          <w:i/>
          <w:iCs/>
          <w:color w:val="000000"/>
          <w:sz w:val="16"/>
          <w:szCs w:val="16"/>
        </w:rPr>
        <w:t xml:space="preserve"> </w:t>
      </w:r>
      <w:r w:rsidRPr="00747EF9">
        <w:rPr>
          <w:color w:val="000000"/>
          <w:sz w:val="16"/>
          <w:szCs w:val="16"/>
        </w:rPr>
        <w:t xml:space="preserve">Tel: +39 02 70006237 </w:t>
      </w:r>
      <w:r w:rsidR="000B6CAD">
        <w:rPr>
          <w:b/>
          <w:bCs/>
          <w:color w:val="000000"/>
          <w:sz w:val="16"/>
          <w:szCs w:val="16"/>
        </w:rPr>
        <w:br/>
      </w:r>
      <w:r w:rsidRPr="0049144F">
        <w:rPr>
          <w:sz w:val="16"/>
          <w:szCs w:val="16"/>
        </w:rPr>
        <w:t>Alessandro Pavanati – 347</w:t>
      </w:r>
      <w:r w:rsidR="00412BA1">
        <w:rPr>
          <w:sz w:val="16"/>
          <w:szCs w:val="16"/>
        </w:rPr>
        <w:t xml:space="preserve"> </w:t>
      </w:r>
      <w:r w:rsidRPr="0049144F">
        <w:rPr>
          <w:sz w:val="16"/>
          <w:szCs w:val="16"/>
        </w:rPr>
        <w:t xml:space="preserve">1265589 – </w:t>
      </w:r>
      <w:hyperlink r:id="rId7" w:history="1">
        <w:r w:rsidRPr="0049144F">
          <w:rPr>
            <w:rStyle w:val="Collegamentoipertestuale"/>
            <w:sz w:val="16"/>
            <w:szCs w:val="16"/>
          </w:rPr>
          <w:t>alessandro.pavanati@closetomedia.it</w:t>
        </w:r>
      </w:hyperlink>
      <w:r w:rsidR="000B6CAD">
        <w:rPr>
          <w:rStyle w:val="Collegamentoipertestuale"/>
          <w:b/>
          <w:bCs/>
          <w:color w:val="000000"/>
          <w:sz w:val="16"/>
          <w:szCs w:val="16"/>
          <w:u w:val="none"/>
        </w:rPr>
        <w:br/>
      </w:r>
      <w:r w:rsidR="001B1089" w:rsidRPr="000B6CAD">
        <w:rPr>
          <w:sz w:val="16"/>
          <w:szCs w:val="16"/>
        </w:rPr>
        <w:t>Amany Soliman – 337</w:t>
      </w:r>
      <w:r w:rsidR="00412BA1" w:rsidRPr="000B6CAD">
        <w:rPr>
          <w:sz w:val="16"/>
          <w:szCs w:val="16"/>
        </w:rPr>
        <w:t xml:space="preserve"> </w:t>
      </w:r>
      <w:r w:rsidR="001B1089" w:rsidRPr="000B6CAD">
        <w:rPr>
          <w:sz w:val="16"/>
          <w:szCs w:val="16"/>
        </w:rPr>
        <w:t xml:space="preserve">1524898 – </w:t>
      </w:r>
      <w:hyperlink r:id="rId8" w:history="1">
        <w:r w:rsidR="001B1089" w:rsidRPr="000B6CAD">
          <w:rPr>
            <w:rStyle w:val="Collegamentoipertestuale"/>
            <w:sz w:val="16"/>
            <w:szCs w:val="16"/>
          </w:rPr>
          <w:t>amany.soliman@closetomedia.it</w:t>
        </w:r>
      </w:hyperlink>
      <w:r w:rsidR="001B1089" w:rsidRPr="000B6CAD">
        <w:rPr>
          <w:rStyle w:val="Collegamentoipertestuale"/>
          <w:sz w:val="16"/>
          <w:szCs w:val="16"/>
        </w:rPr>
        <w:t xml:space="preserve"> </w:t>
      </w:r>
    </w:p>
    <w:sectPr w:rsidR="00E86363" w:rsidRPr="000B6CAD" w:rsidSect="001B1089">
      <w:headerReference w:type="default" r:id="rId9"/>
      <w:pgSz w:w="11906" w:h="16838"/>
      <w:pgMar w:top="1135" w:right="1134" w:bottom="28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61E0" w14:textId="77777777" w:rsidR="00881448" w:rsidRDefault="00881448">
      <w:pPr>
        <w:spacing w:after="0" w:line="240" w:lineRule="auto"/>
      </w:pPr>
      <w:r>
        <w:separator/>
      </w:r>
    </w:p>
  </w:endnote>
  <w:endnote w:type="continuationSeparator" w:id="0">
    <w:p w14:paraId="7C098CBB" w14:textId="77777777" w:rsidR="00881448" w:rsidRDefault="0088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0D1A" w14:textId="77777777" w:rsidR="00881448" w:rsidRDefault="00881448">
      <w:pPr>
        <w:spacing w:after="0" w:line="240" w:lineRule="auto"/>
      </w:pPr>
      <w:r>
        <w:separator/>
      </w:r>
    </w:p>
  </w:footnote>
  <w:footnote w:type="continuationSeparator" w:id="0">
    <w:p w14:paraId="2548414E" w14:textId="77777777" w:rsidR="00881448" w:rsidRDefault="0088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2A47" w14:textId="77777777" w:rsidR="003C6AD2" w:rsidRDefault="004B60AE">
    <w:pPr>
      <w:pStyle w:val="Intestazione"/>
    </w:pPr>
    <w:r w:rsidRPr="002C16B8">
      <w:rPr>
        <w:noProof/>
      </w:rPr>
      <w:drawing>
        <wp:inline distT="0" distB="0" distL="0" distR="0" wp14:anchorId="565F32EE" wp14:editId="1D31BEF0">
          <wp:extent cx="2322125" cy="497434"/>
          <wp:effectExtent l="0" t="0" r="254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785" cy="51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240"/>
    <w:multiLevelType w:val="hybridMultilevel"/>
    <w:tmpl w:val="C3B6B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A43BF0"/>
    <w:multiLevelType w:val="hybridMultilevel"/>
    <w:tmpl w:val="62A0F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5C2B58"/>
    <w:multiLevelType w:val="hybridMultilevel"/>
    <w:tmpl w:val="362EE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5533006">
    <w:abstractNumId w:val="1"/>
  </w:num>
  <w:num w:numId="2" w16cid:durableId="443963925">
    <w:abstractNumId w:val="0"/>
  </w:num>
  <w:num w:numId="3" w16cid:durableId="1159998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7E"/>
    <w:rsid w:val="00022142"/>
    <w:rsid w:val="00033DC3"/>
    <w:rsid w:val="00055587"/>
    <w:rsid w:val="00091923"/>
    <w:rsid w:val="000B6CAD"/>
    <w:rsid w:val="000C717D"/>
    <w:rsid w:val="000E7F0E"/>
    <w:rsid w:val="00144E10"/>
    <w:rsid w:val="001543E8"/>
    <w:rsid w:val="0019448A"/>
    <w:rsid w:val="001B1089"/>
    <w:rsid w:val="001C706D"/>
    <w:rsid w:val="001E05AF"/>
    <w:rsid w:val="002341D8"/>
    <w:rsid w:val="00247922"/>
    <w:rsid w:val="0025259F"/>
    <w:rsid w:val="00277D4B"/>
    <w:rsid w:val="00296B9A"/>
    <w:rsid w:val="002972CC"/>
    <w:rsid w:val="002A101F"/>
    <w:rsid w:val="002B4579"/>
    <w:rsid w:val="002C5D06"/>
    <w:rsid w:val="002D3CDA"/>
    <w:rsid w:val="002E289D"/>
    <w:rsid w:val="002F79DF"/>
    <w:rsid w:val="003223D0"/>
    <w:rsid w:val="00334BFE"/>
    <w:rsid w:val="00345880"/>
    <w:rsid w:val="00352FE4"/>
    <w:rsid w:val="00364D7B"/>
    <w:rsid w:val="00372073"/>
    <w:rsid w:val="00386A3E"/>
    <w:rsid w:val="003A0F08"/>
    <w:rsid w:val="003A11EC"/>
    <w:rsid w:val="003A5071"/>
    <w:rsid w:val="003D1F52"/>
    <w:rsid w:val="003E17BF"/>
    <w:rsid w:val="00403053"/>
    <w:rsid w:val="004044AC"/>
    <w:rsid w:val="00412BA1"/>
    <w:rsid w:val="00426185"/>
    <w:rsid w:val="00450506"/>
    <w:rsid w:val="004633AF"/>
    <w:rsid w:val="00484628"/>
    <w:rsid w:val="004B60AE"/>
    <w:rsid w:val="004D66DD"/>
    <w:rsid w:val="00522349"/>
    <w:rsid w:val="00542035"/>
    <w:rsid w:val="00577AA5"/>
    <w:rsid w:val="0058639E"/>
    <w:rsid w:val="0059484C"/>
    <w:rsid w:val="00596CD5"/>
    <w:rsid w:val="0064395A"/>
    <w:rsid w:val="006560A2"/>
    <w:rsid w:val="00671A16"/>
    <w:rsid w:val="006B00F9"/>
    <w:rsid w:val="006C1C97"/>
    <w:rsid w:val="006D124D"/>
    <w:rsid w:val="006E0015"/>
    <w:rsid w:val="006E0C50"/>
    <w:rsid w:val="007045FB"/>
    <w:rsid w:val="00712699"/>
    <w:rsid w:val="0073080B"/>
    <w:rsid w:val="007315AB"/>
    <w:rsid w:val="0074100B"/>
    <w:rsid w:val="00744628"/>
    <w:rsid w:val="00744E7E"/>
    <w:rsid w:val="00746932"/>
    <w:rsid w:val="00760AB9"/>
    <w:rsid w:val="00776A8D"/>
    <w:rsid w:val="007B563A"/>
    <w:rsid w:val="007D3E52"/>
    <w:rsid w:val="007E71AC"/>
    <w:rsid w:val="007F1B63"/>
    <w:rsid w:val="008078D8"/>
    <w:rsid w:val="008267F7"/>
    <w:rsid w:val="008444CD"/>
    <w:rsid w:val="0086757B"/>
    <w:rsid w:val="00881448"/>
    <w:rsid w:val="008A3CEB"/>
    <w:rsid w:val="008A6886"/>
    <w:rsid w:val="008C7B30"/>
    <w:rsid w:val="008D617B"/>
    <w:rsid w:val="008E4050"/>
    <w:rsid w:val="008E5EA0"/>
    <w:rsid w:val="00904E62"/>
    <w:rsid w:val="00955987"/>
    <w:rsid w:val="009B32FE"/>
    <w:rsid w:val="009B4961"/>
    <w:rsid w:val="009C2BE1"/>
    <w:rsid w:val="009F1115"/>
    <w:rsid w:val="009F68BF"/>
    <w:rsid w:val="00A13064"/>
    <w:rsid w:val="00A25763"/>
    <w:rsid w:val="00AA27BE"/>
    <w:rsid w:val="00AA4AEA"/>
    <w:rsid w:val="00AB534E"/>
    <w:rsid w:val="00AC0967"/>
    <w:rsid w:val="00AC73ED"/>
    <w:rsid w:val="00AD680A"/>
    <w:rsid w:val="00AE0CFB"/>
    <w:rsid w:val="00AF7311"/>
    <w:rsid w:val="00B009B4"/>
    <w:rsid w:val="00B02EEB"/>
    <w:rsid w:val="00B03334"/>
    <w:rsid w:val="00B04D2D"/>
    <w:rsid w:val="00B148F9"/>
    <w:rsid w:val="00B17DFC"/>
    <w:rsid w:val="00B3254D"/>
    <w:rsid w:val="00B35CC1"/>
    <w:rsid w:val="00B478C0"/>
    <w:rsid w:val="00B54629"/>
    <w:rsid w:val="00B82376"/>
    <w:rsid w:val="00BB0162"/>
    <w:rsid w:val="00BB1714"/>
    <w:rsid w:val="00BF0342"/>
    <w:rsid w:val="00C06D28"/>
    <w:rsid w:val="00C21B86"/>
    <w:rsid w:val="00C41152"/>
    <w:rsid w:val="00C43039"/>
    <w:rsid w:val="00C75F0C"/>
    <w:rsid w:val="00CD0CB3"/>
    <w:rsid w:val="00CE793C"/>
    <w:rsid w:val="00D136E2"/>
    <w:rsid w:val="00D52E25"/>
    <w:rsid w:val="00DA70CB"/>
    <w:rsid w:val="00E123F3"/>
    <w:rsid w:val="00E148E5"/>
    <w:rsid w:val="00E26A31"/>
    <w:rsid w:val="00E3410D"/>
    <w:rsid w:val="00E441AE"/>
    <w:rsid w:val="00E91A1B"/>
    <w:rsid w:val="00EB6BB1"/>
    <w:rsid w:val="00EC23CB"/>
    <w:rsid w:val="00EC7D49"/>
    <w:rsid w:val="00ED524C"/>
    <w:rsid w:val="00EE588D"/>
    <w:rsid w:val="00F200E6"/>
    <w:rsid w:val="00F45113"/>
    <w:rsid w:val="00F604D8"/>
    <w:rsid w:val="00F81E8E"/>
    <w:rsid w:val="00FD20B3"/>
    <w:rsid w:val="00FE2661"/>
    <w:rsid w:val="00FF3FDC"/>
    <w:rsid w:val="00FF5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31A32"/>
  <w15:chartTrackingRefBased/>
  <w15:docId w15:val="{D0739945-F9B7-42A6-87A9-42D66BE6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19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91923"/>
    <w:rPr>
      <w:color w:val="0563C1"/>
      <w:u w:val="single"/>
    </w:rPr>
  </w:style>
  <w:style w:type="paragraph" w:styleId="Intestazione">
    <w:name w:val="header"/>
    <w:basedOn w:val="Normale"/>
    <w:link w:val="IntestazioneCarattere"/>
    <w:uiPriority w:val="99"/>
    <w:unhideWhenUsed/>
    <w:rsid w:val="000919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1923"/>
  </w:style>
  <w:style w:type="character" w:styleId="Menzionenonrisolta">
    <w:name w:val="Unresolved Mention"/>
    <w:basedOn w:val="Carpredefinitoparagrafo"/>
    <w:uiPriority w:val="99"/>
    <w:semiHidden/>
    <w:unhideWhenUsed/>
    <w:rsid w:val="001B1089"/>
    <w:rPr>
      <w:color w:val="605E5C"/>
      <w:shd w:val="clear" w:color="auto" w:fill="E1DFDD"/>
    </w:rPr>
  </w:style>
  <w:style w:type="paragraph" w:styleId="Pidipagina">
    <w:name w:val="footer"/>
    <w:basedOn w:val="Normale"/>
    <w:link w:val="PidipaginaCarattere"/>
    <w:uiPriority w:val="99"/>
    <w:unhideWhenUsed/>
    <w:rsid w:val="001B10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1089"/>
  </w:style>
  <w:style w:type="paragraph" w:customStyle="1" w:styleId="xmsonormal">
    <w:name w:val="x_msonormal"/>
    <w:basedOn w:val="Normale"/>
    <w:rsid w:val="00CD0CB3"/>
    <w:pPr>
      <w:spacing w:line="252" w:lineRule="auto"/>
    </w:pPr>
    <w:rPr>
      <w:rFonts w:ascii="Calibri" w:hAnsi="Calibri" w:cs="Calibri"/>
      <w:lang w:eastAsia="it-IT"/>
    </w:rPr>
  </w:style>
  <w:style w:type="paragraph" w:styleId="Revisione">
    <w:name w:val="Revision"/>
    <w:hidden/>
    <w:uiPriority w:val="99"/>
    <w:semiHidden/>
    <w:rsid w:val="0073080B"/>
    <w:pPr>
      <w:spacing w:after="0" w:line="240" w:lineRule="auto"/>
    </w:pPr>
  </w:style>
  <w:style w:type="paragraph" w:customStyle="1" w:styleId="s7">
    <w:name w:val="s7"/>
    <w:basedOn w:val="Normale"/>
    <w:rsid w:val="00FF3FDC"/>
    <w:pPr>
      <w:spacing w:before="100" w:beforeAutospacing="1" w:after="100" w:afterAutospacing="1" w:line="240" w:lineRule="auto"/>
    </w:pPr>
    <w:rPr>
      <w:rFonts w:ascii="Calibri" w:hAnsi="Calibri" w:cs="Calibri"/>
    </w:rPr>
  </w:style>
  <w:style w:type="character" w:customStyle="1" w:styleId="bumpedfont15">
    <w:name w:val="bumpedfont15"/>
    <w:basedOn w:val="Carpredefinitoparagrafo"/>
    <w:rsid w:val="00FF3FDC"/>
  </w:style>
  <w:style w:type="paragraph" w:styleId="Paragrafoelenco">
    <w:name w:val="List Paragraph"/>
    <w:basedOn w:val="Normale"/>
    <w:uiPriority w:val="34"/>
    <w:qFormat/>
    <w:rsid w:val="000E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5611">
      <w:bodyDiv w:val="1"/>
      <w:marLeft w:val="0"/>
      <w:marRight w:val="0"/>
      <w:marTop w:val="0"/>
      <w:marBottom w:val="0"/>
      <w:divBdr>
        <w:top w:val="none" w:sz="0" w:space="0" w:color="auto"/>
        <w:left w:val="none" w:sz="0" w:space="0" w:color="auto"/>
        <w:bottom w:val="none" w:sz="0" w:space="0" w:color="auto"/>
        <w:right w:val="none" w:sz="0" w:space="0" w:color="auto"/>
      </w:divBdr>
    </w:div>
    <w:div w:id="1330329905">
      <w:bodyDiv w:val="1"/>
      <w:marLeft w:val="0"/>
      <w:marRight w:val="0"/>
      <w:marTop w:val="0"/>
      <w:marBottom w:val="0"/>
      <w:divBdr>
        <w:top w:val="none" w:sz="0" w:space="0" w:color="auto"/>
        <w:left w:val="none" w:sz="0" w:space="0" w:color="auto"/>
        <w:bottom w:val="none" w:sz="0" w:space="0" w:color="auto"/>
        <w:right w:val="none" w:sz="0" w:space="0" w:color="auto"/>
      </w:divBdr>
    </w:div>
    <w:div w:id="1721519250">
      <w:bodyDiv w:val="1"/>
      <w:marLeft w:val="0"/>
      <w:marRight w:val="0"/>
      <w:marTop w:val="0"/>
      <w:marBottom w:val="0"/>
      <w:divBdr>
        <w:top w:val="none" w:sz="0" w:space="0" w:color="auto"/>
        <w:left w:val="none" w:sz="0" w:space="0" w:color="auto"/>
        <w:bottom w:val="none" w:sz="0" w:space="0" w:color="auto"/>
        <w:right w:val="none" w:sz="0" w:space="0" w:color="auto"/>
      </w:divBdr>
    </w:div>
    <w:div w:id="1743062873">
      <w:bodyDiv w:val="1"/>
      <w:marLeft w:val="0"/>
      <w:marRight w:val="0"/>
      <w:marTop w:val="0"/>
      <w:marBottom w:val="0"/>
      <w:divBdr>
        <w:top w:val="none" w:sz="0" w:space="0" w:color="auto"/>
        <w:left w:val="none" w:sz="0" w:space="0" w:color="auto"/>
        <w:bottom w:val="none" w:sz="0" w:space="0" w:color="auto"/>
        <w:right w:val="none" w:sz="0" w:space="0" w:color="auto"/>
      </w:divBdr>
    </w:div>
    <w:div w:id="19730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y.soliman@closetomedia.it" TargetMode="External"/><Relationship Id="rId3" Type="http://schemas.openxmlformats.org/officeDocument/2006/relationships/settings" Target="settings.xml"/><Relationship Id="rId7" Type="http://schemas.openxmlformats.org/officeDocument/2006/relationships/hyperlink" Target="mailto:alessandro.pavanati@closetome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Gesa</dc:creator>
  <cp:keywords/>
  <dc:description/>
  <cp:lastModifiedBy>Alessandro Pavanati</cp:lastModifiedBy>
  <cp:revision>2</cp:revision>
  <cp:lastPrinted>2022-01-24T15:22:00Z</cp:lastPrinted>
  <dcterms:created xsi:type="dcterms:W3CDTF">2022-04-27T15:21:00Z</dcterms:created>
  <dcterms:modified xsi:type="dcterms:W3CDTF">2022-04-27T15:21:00Z</dcterms:modified>
</cp:coreProperties>
</file>