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ED5E" w14:textId="77777777" w:rsidR="00DA5E23" w:rsidRDefault="00DA5E23" w:rsidP="00DA5E23">
      <w:pPr>
        <w:jc w:val="center"/>
        <w:rPr>
          <w:rFonts w:ascii="Century Gothic" w:hAnsi="Century Gothic"/>
          <w:sz w:val="20"/>
        </w:rPr>
      </w:pPr>
    </w:p>
    <w:p w14:paraId="14348A91" w14:textId="3759645C" w:rsidR="003A7B1E" w:rsidRDefault="00DA5E23" w:rsidP="00DA5E23">
      <w:pPr>
        <w:jc w:val="center"/>
        <w:rPr>
          <w:rFonts w:ascii="Century Gothic" w:hAnsi="Century Gothic"/>
          <w:sz w:val="20"/>
        </w:rPr>
      </w:pPr>
      <w:r w:rsidRPr="00DA5E23">
        <w:rPr>
          <w:rFonts w:ascii="Century Gothic" w:hAnsi="Century Gothic"/>
          <w:sz w:val="20"/>
        </w:rPr>
        <w:t>Comunicato stampa</w:t>
      </w:r>
    </w:p>
    <w:p w14:paraId="5DF5BCD0" w14:textId="77777777" w:rsidR="00DA5E23" w:rsidRPr="00DA5E23" w:rsidRDefault="00DA5E23" w:rsidP="00DA5E23">
      <w:pPr>
        <w:jc w:val="center"/>
        <w:rPr>
          <w:rFonts w:ascii="Century Gothic" w:hAnsi="Century Gothic"/>
          <w:sz w:val="20"/>
        </w:rPr>
      </w:pPr>
    </w:p>
    <w:p w14:paraId="12E6C903" w14:textId="360C4B35" w:rsidR="00DC149B" w:rsidRDefault="009B58D5" w:rsidP="00301AD2">
      <w:pPr>
        <w:jc w:val="center"/>
        <w:rPr>
          <w:rFonts w:ascii="Century Gothic" w:hAnsi="Century Gothic"/>
          <w:b/>
          <w:bCs/>
          <w:sz w:val="24"/>
          <w:szCs w:val="24"/>
        </w:rPr>
      </w:pPr>
      <w:r w:rsidRPr="009B58D5">
        <w:rPr>
          <w:rFonts w:ascii="Century Gothic" w:hAnsi="Century Gothic"/>
          <w:b/>
          <w:bCs/>
          <w:sz w:val="24"/>
          <w:szCs w:val="24"/>
        </w:rPr>
        <w:t>STPG - SCOUTING CAPITAL ADVISORS ASSISTE FINREL S</w:t>
      </w:r>
      <w:r>
        <w:rPr>
          <w:rFonts w:ascii="Century Gothic" w:hAnsi="Century Gothic"/>
          <w:b/>
          <w:bCs/>
          <w:sz w:val="24"/>
          <w:szCs w:val="24"/>
        </w:rPr>
        <w:t>p</w:t>
      </w:r>
      <w:r w:rsidRPr="009B58D5">
        <w:rPr>
          <w:rFonts w:ascii="Century Gothic" w:hAnsi="Century Gothic"/>
          <w:b/>
          <w:bCs/>
          <w:sz w:val="24"/>
          <w:szCs w:val="24"/>
        </w:rPr>
        <w:t>A</w:t>
      </w:r>
      <w:r>
        <w:rPr>
          <w:rFonts w:ascii="Century Gothic" w:hAnsi="Century Gothic"/>
          <w:b/>
          <w:bCs/>
          <w:sz w:val="24"/>
          <w:szCs w:val="24"/>
        </w:rPr>
        <w:t xml:space="preserve"> NELL’ACQUISIZIONE </w:t>
      </w:r>
      <w:r w:rsidR="001B067B">
        <w:rPr>
          <w:rFonts w:ascii="Century Gothic" w:hAnsi="Century Gothic"/>
          <w:b/>
          <w:bCs/>
          <w:sz w:val="24"/>
          <w:szCs w:val="24"/>
        </w:rPr>
        <w:t xml:space="preserve">DEL CONTROLLO </w:t>
      </w:r>
      <w:r>
        <w:rPr>
          <w:rFonts w:ascii="Century Gothic" w:hAnsi="Century Gothic"/>
          <w:b/>
          <w:bCs/>
          <w:sz w:val="24"/>
          <w:szCs w:val="24"/>
        </w:rPr>
        <w:t xml:space="preserve">DI </w:t>
      </w:r>
      <w:r w:rsidRPr="009B58D5">
        <w:rPr>
          <w:rFonts w:ascii="Century Gothic" w:hAnsi="Century Gothic"/>
          <w:b/>
          <w:bCs/>
          <w:sz w:val="24"/>
          <w:szCs w:val="24"/>
        </w:rPr>
        <w:t>TECNORD S</w:t>
      </w:r>
      <w:r>
        <w:rPr>
          <w:rFonts w:ascii="Century Gothic" w:hAnsi="Century Gothic"/>
          <w:b/>
          <w:bCs/>
          <w:sz w:val="24"/>
          <w:szCs w:val="24"/>
        </w:rPr>
        <w:t>r</w:t>
      </w:r>
      <w:r w:rsidR="003D7B66">
        <w:rPr>
          <w:rFonts w:ascii="Century Gothic" w:hAnsi="Century Gothic"/>
          <w:b/>
          <w:bCs/>
          <w:sz w:val="24"/>
          <w:szCs w:val="24"/>
        </w:rPr>
        <w:t>l</w:t>
      </w:r>
    </w:p>
    <w:p w14:paraId="41AF098D" w14:textId="081C63BF" w:rsidR="0036508E" w:rsidRDefault="006C1A59" w:rsidP="00301AD2">
      <w:pPr>
        <w:jc w:val="center"/>
        <w:rPr>
          <w:rFonts w:ascii="Century Gothic" w:hAnsi="Century Gothic"/>
          <w:szCs w:val="32"/>
        </w:rPr>
      </w:pPr>
      <w:r>
        <w:rPr>
          <w:rFonts w:ascii="Century Gothic" w:hAnsi="Century Gothic"/>
          <w:szCs w:val="32"/>
        </w:rPr>
        <w:t xml:space="preserve">Questa importante </w:t>
      </w:r>
      <w:r w:rsidR="000873E9">
        <w:rPr>
          <w:rFonts w:ascii="Century Gothic" w:hAnsi="Century Gothic"/>
          <w:szCs w:val="32"/>
        </w:rPr>
        <w:t xml:space="preserve">operazione permetterà </w:t>
      </w:r>
      <w:r>
        <w:rPr>
          <w:rFonts w:ascii="Century Gothic" w:hAnsi="Century Gothic"/>
          <w:szCs w:val="32"/>
        </w:rPr>
        <w:t xml:space="preserve">a </w:t>
      </w:r>
      <w:proofErr w:type="spellStart"/>
      <w:r>
        <w:rPr>
          <w:rFonts w:ascii="Century Gothic" w:hAnsi="Century Gothic"/>
          <w:szCs w:val="32"/>
        </w:rPr>
        <w:t>Finrel</w:t>
      </w:r>
      <w:proofErr w:type="spellEnd"/>
      <w:r>
        <w:rPr>
          <w:rFonts w:ascii="Century Gothic" w:hAnsi="Century Gothic"/>
          <w:szCs w:val="32"/>
        </w:rPr>
        <w:t xml:space="preserve"> SpA </w:t>
      </w:r>
      <w:r w:rsidR="000873E9">
        <w:rPr>
          <w:rFonts w:ascii="Century Gothic" w:hAnsi="Century Gothic"/>
          <w:szCs w:val="32"/>
        </w:rPr>
        <w:t xml:space="preserve">di rafforzare ulteriormente la </w:t>
      </w:r>
      <w:r w:rsidR="00473255">
        <w:rPr>
          <w:rFonts w:ascii="Century Gothic" w:hAnsi="Century Gothic"/>
          <w:szCs w:val="32"/>
        </w:rPr>
        <w:t xml:space="preserve">propria </w:t>
      </w:r>
      <w:r w:rsidR="000873E9" w:rsidRPr="000873E9">
        <w:rPr>
          <w:rFonts w:ascii="Century Gothic" w:hAnsi="Century Gothic"/>
          <w:szCs w:val="32"/>
        </w:rPr>
        <w:t>posizione di player globale nell’Elettroidraulica</w:t>
      </w:r>
    </w:p>
    <w:p w14:paraId="2774AA42" w14:textId="77777777" w:rsidR="00125AC8" w:rsidRPr="00DC149B" w:rsidRDefault="00125AC8" w:rsidP="00301AD2">
      <w:pPr>
        <w:jc w:val="center"/>
        <w:rPr>
          <w:rFonts w:ascii="Century Gothic" w:hAnsi="Century Gothic"/>
          <w:szCs w:val="32"/>
        </w:rPr>
      </w:pPr>
    </w:p>
    <w:p w14:paraId="0B3020B9" w14:textId="6821A4BF" w:rsidR="009B58D5" w:rsidRPr="009B58D5" w:rsidRDefault="00106D44" w:rsidP="009B58D5">
      <w:pPr>
        <w:jc w:val="both"/>
        <w:rPr>
          <w:rFonts w:ascii="Century Gothic" w:hAnsi="Century Gothic"/>
          <w:sz w:val="20"/>
          <w:szCs w:val="20"/>
        </w:rPr>
      </w:pPr>
      <w:r w:rsidRPr="00106D44">
        <w:rPr>
          <w:rFonts w:ascii="Century Gothic" w:hAnsi="Century Gothic"/>
          <w:i/>
          <w:iCs/>
          <w:sz w:val="20"/>
          <w:szCs w:val="20"/>
        </w:rPr>
        <w:t xml:space="preserve">Milano, </w:t>
      </w:r>
      <w:r w:rsidR="009B58D5">
        <w:rPr>
          <w:rFonts w:ascii="Century Gothic" w:hAnsi="Century Gothic"/>
          <w:i/>
          <w:iCs/>
          <w:sz w:val="20"/>
          <w:szCs w:val="20"/>
        </w:rPr>
        <w:t>08 aprile</w:t>
      </w:r>
      <w:r w:rsidRPr="00106D44">
        <w:rPr>
          <w:rFonts w:ascii="Century Gothic" w:hAnsi="Century Gothic"/>
          <w:i/>
          <w:iCs/>
          <w:sz w:val="20"/>
          <w:szCs w:val="20"/>
        </w:rPr>
        <w:t xml:space="preserve"> 202</w:t>
      </w:r>
      <w:r>
        <w:rPr>
          <w:rFonts w:ascii="Century Gothic" w:hAnsi="Century Gothic"/>
          <w:i/>
          <w:iCs/>
          <w:sz w:val="20"/>
          <w:szCs w:val="20"/>
        </w:rPr>
        <w:t>2</w:t>
      </w:r>
      <w:r w:rsidRPr="00106D44">
        <w:rPr>
          <w:rFonts w:ascii="Century Gothic" w:hAnsi="Century Gothic"/>
          <w:i/>
          <w:iCs/>
          <w:sz w:val="20"/>
          <w:szCs w:val="20"/>
        </w:rPr>
        <w:t xml:space="preserve"> </w:t>
      </w:r>
      <w:r w:rsidRPr="00933221">
        <w:rPr>
          <w:rFonts w:ascii="Century Gothic" w:hAnsi="Century Gothic"/>
          <w:b/>
          <w:bCs/>
          <w:sz w:val="20"/>
          <w:szCs w:val="20"/>
        </w:rPr>
        <w:t xml:space="preserve">– </w:t>
      </w:r>
      <w:proofErr w:type="spellStart"/>
      <w:r w:rsidR="009B58D5" w:rsidRPr="00933221">
        <w:rPr>
          <w:rFonts w:ascii="Century Gothic" w:hAnsi="Century Gothic"/>
          <w:b/>
          <w:bCs/>
          <w:sz w:val="20"/>
          <w:szCs w:val="20"/>
        </w:rPr>
        <w:t>Finrel</w:t>
      </w:r>
      <w:proofErr w:type="spellEnd"/>
      <w:r w:rsidR="009B58D5" w:rsidRPr="00933221">
        <w:rPr>
          <w:rFonts w:ascii="Century Gothic" w:hAnsi="Century Gothic"/>
          <w:b/>
          <w:bCs/>
          <w:sz w:val="20"/>
          <w:szCs w:val="20"/>
        </w:rPr>
        <w:t xml:space="preserve"> SpA</w:t>
      </w:r>
      <w:r w:rsidR="009B58D5">
        <w:rPr>
          <w:rFonts w:ascii="Century Gothic" w:hAnsi="Century Gothic"/>
          <w:sz w:val="20"/>
          <w:szCs w:val="20"/>
        </w:rPr>
        <w:t xml:space="preserve"> (“</w:t>
      </w:r>
      <w:proofErr w:type="spellStart"/>
      <w:r w:rsidR="009B58D5">
        <w:rPr>
          <w:rFonts w:ascii="Century Gothic" w:hAnsi="Century Gothic"/>
          <w:sz w:val="20"/>
          <w:szCs w:val="20"/>
        </w:rPr>
        <w:t>Finrel</w:t>
      </w:r>
      <w:proofErr w:type="spellEnd"/>
      <w:r w:rsidR="009B58D5">
        <w:rPr>
          <w:rFonts w:ascii="Century Gothic" w:hAnsi="Century Gothic"/>
          <w:sz w:val="20"/>
          <w:szCs w:val="20"/>
        </w:rPr>
        <w:t>”)</w:t>
      </w:r>
      <w:r w:rsidR="009B58D5" w:rsidRPr="009B58D5">
        <w:rPr>
          <w:rFonts w:ascii="Century Gothic" w:hAnsi="Century Gothic"/>
          <w:sz w:val="20"/>
          <w:szCs w:val="20"/>
        </w:rPr>
        <w:t xml:space="preserve">, holding </w:t>
      </w:r>
      <w:r w:rsidR="00125AC8">
        <w:rPr>
          <w:rFonts w:ascii="Century Gothic" w:hAnsi="Century Gothic"/>
          <w:sz w:val="20"/>
          <w:szCs w:val="20"/>
        </w:rPr>
        <w:t xml:space="preserve">parmense </w:t>
      </w:r>
      <w:r w:rsidR="009B58D5" w:rsidRPr="009B58D5">
        <w:rPr>
          <w:rFonts w:ascii="Century Gothic" w:hAnsi="Century Gothic"/>
          <w:sz w:val="20"/>
          <w:szCs w:val="20"/>
        </w:rPr>
        <w:t xml:space="preserve">proprietaria di </w:t>
      </w:r>
      <w:proofErr w:type="spellStart"/>
      <w:r w:rsidR="009B58D5" w:rsidRPr="009B58D5">
        <w:rPr>
          <w:rFonts w:ascii="Century Gothic" w:hAnsi="Century Gothic"/>
          <w:sz w:val="20"/>
          <w:szCs w:val="20"/>
        </w:rPr>
        <w:t>Casappa</w:t>
      </w:r>
      <w:proofErr w:type="spellEnd"/>
      <w:r w:rsidR="009B58D5" w:rsidRPr="009B58D5">
        <w:rPr>
          <w:rFonts w:ascii="Century Gothic" w:hAnsi="Century Gothic"/>
          <w:sz w:val="20"/>
          <w:szCs w:val="20"/>
        </w:rPr>
        <w:t xml:space="preserve"> SpA e </w:t>
      </w:r>
      <w:proofErr w:type="spellStart"/>
      <w:r w:rsidR="009B58D5" w:rsidRPr="009B58D5">
        <w:rPr>
          <w:rFonts w:ascii="Century Gothic" w:hAnsi="Century Gothic"/>
          <w:sz w:val="20"/>
          <w:szCs w:val="20"/>
        </w:rPr>
        <w:t>Ikron</w:t>
      </w:r>
      <w:proofErr w:type="spellEnd"/>
      <w:r w:rsidR="009B58D5" w:rsidRPr="009B58D5">
        <w:rPr>
          <w:rFonts w:ascii="Century Gothic" w:hAnsi="Century Gothic"/>
          <w:sz w:val="20"/>
          <w:szCs w:val="20"/>
        </w:rPr>
        <w:t xml:space="preserve"> Srl, leader a livello mondiale nella costruzione di pompe, motori, filtri e sistemi oleodinamici, </w:t>
      </w:r>
      <w:r w:rsidR="009B58D5" w:rsidRPr="00933221">
        <w:rPr>
          <w:rFonts w:ascii="Century Gothic" w:hAnsi="Century Gothic"/>
          <w:b/>
          <w:bCs/>
          <w:sz w:val="20"/>
          <w:szCs w:val="20"/>
        </w:rPr>
        <w:t>ha perfezionato l'operazione di acquisizione del 51% del capitale sociale d</w:t>
      </w:r>
      <w:r w:rsidR="00125AC8">
        <w:rPr>
          <w:rFonts w:ascii="Century Gothic" w:hAnsi="Century Gothic"/>
          <w:b/>
          <w:bCs/>
          <w:sz w:val="20"/>
          <w:szCs w:val="20"/>
        </w:rPr>
        <w:t>ella modenese</w:t>
      </w:r>
      <w:r w:rsidR="009B58D5" w:rsidRPr="00933221">
        <w:rPr>
          <w:rFonts w:ascii="Century Gothic" w:hAnsi="Century Gothic"/>
          <w:b/>
          <w:bCs/>
          <w:sz w:val="20"/>
          <w:szCs w:val="20"/>
        </w:rPr>
        <w:t xml:space="preserve"> Tecnord Srl</w:t>
      </w:r>
      <w:r w:rsidR="009B58D5">
        <w:rPr>
          <w:rFonts w:ascii="Century Gothic" w:hAnsi="Century Gothic"/>
          <w:sz w:val="20"/>
          <w:szCs w:val="20"/>
        </w:rPr>
        <w:t xml:space="preserve"> (“Tecnord”</w:t>
      </w:r>
      <w:r w:rsidR="00933221">
        <w:rPr>
          <w:rFonts w:ascii="Century Gothic" w:hAnsi="Century Gothic"/>
          <w:sz w:val="20"/>
          <w:szCs w:val="20"/>
        </w:rPr>
        <w:t xml:space="preserve">) </w:t>
      </w:r>
      <w:r w:rsidR="009B58D5" w:rsidRPr="00933221">
        <w:rPr>
          <w:rFonts w:ascii="Century Gothic" w:hAnsi="Century Gothic"/>
          <w:b/>
          <w:bCs/>
          <w:sz w:val="20"/>
          <w:szCs w:val="20"/>
        </w:rPr>
        <w:t xml:space="preserve">dal gruppo americano Delta Power Company Rockford </w:t>
      </w:r>
      <w:r w:rsidR="009B58D5" w:rsidRPr="00933221">
        <w:rPr>
          <w:rFonts w:ascii="Century Gothic" w:hAnsi="Century Gothic"/>
          <w:sz w:val="20"/>
          <w:szCs w:val="20"/>
        </w:rPr>
        <w:t>(Illinois – USA).</w:t>
      </w:r>
    </w:p>
    <w:p w14:paraId="2CA94042" w14:textId="6DBA17B7" w:rsidR="269AB10B" w:rsidRDefault="009B58D5" w:rsidP="009B58D5">
      <w:pPr>
        <w:jc w:val="both"/>
        <w:rPr>
          <w:rFonts w:ascii="Century Gothic" w:hAnsi="Century Gothic"/>
          <w:sz w:val="20"/>
          <w:szCs w:val="20"/>
        </w:rPr>
      </w:pPr>
      <w:r w:rsidRPr="009B58D5">
        <w:rPr>
          <w:rFonts w:ascii="Century Gothic" w:hAnsi="Century Gothic"/>
          <w:sz w:val="20"/>
          <w:szCs w:val="20"/>
        </w:rPr>
        <w:t xml:space="preserve">Tecnord, fondata nel 1981, è una delle più affermate realtà internazionali nella produzione e commercializzazione di prodotti oleodinamici, elettronici e sistemi integrati in grado di offrire una propria gamma completa e altamente tecnologica. L’Azienda, che conta oltre 250 dipendenti in tutto il mondo, nel 2021 ha prodotto nello stabilimento di Modena più di 2.5 milioni di prodotti finiti realizzando un fatturato superiore a 58 milioni di </w:t>
      </w:r>
      <w:r w:rsidR="0036508E" w:rsidRPr="009B58D5">
        <w:rPr>
          <w:rFonts w:ascii="Century Gothic" w:hAnsi="Century Gothic"/>
          <w:sz w:val="20"/>
          <w:szCs w:val="20"/>
        </w:rPr>
        <w:t>euro</w:t>
      </w:r>
      <w:r w:rsidRPr="009B58D5">
        <w:rPr>
          <w:rFonts w:ascii="Century Gothic" w:hAnsi="Century Gothic"/>
          <w:sz w:val="20"/>
          <w:szCs w:val="20"/>
        </w:rPr>
        <w:t>.</w:t>
      </w:r>
    </w:p>
    <w:p w14:paraId="450DC943" w14:textId="1BE52544" w:rsidR="009B58D5" w:rsidRPr="00F41F42" w:rsidRDefault="009B58D5" w:rsidP="009B58D5">
      <w:pPr>
        <w:contextualSpacing/>
        <w:jc w:val="both"/>
        <w:rPr>
          <w:rFonts w:ascii="Century Gothic" w:eastAsia="Century Gothic" w:hAnsi="Century Gothic" w:cs="Century Gothic"/>
          <w:sz w:val="20"/>
          <w:szCs w:val="20"/>
        </w:rPr>
      </w:pPr>
      <w:r w:rsidRPr="009B58D5">
        <w:rPr>
          <w:rFonts w:ascii="Century Gothic" w:eastAsia="Century Gothic" w:hAnsi="Century Gothic" w:cs="Century Gothic"/>
          <w:sz w:val="20"/>
          <w:szCs w:val="20"/>
        </w:rPr>
        <w:t xml:space="preserve">Nell’operazione, </w:t>
      </w:r>
      <w:proofErr w:type="spellStart"/>
      <w:r w:rsidRPr="00933221">
        <w:rPr>
          <w:rFonts w:ascii="Century Gothic" w:eastAsia="Century Gothic" w:hAnsi="Century Gothic" w:cs="Century Gothic"/>
          <w:b/>
          <w:bCs/>
          <w:sz w:val="20"/>
          <w:szCs w:val="20"/>
        </w:rPr>
        <w:t>Finrel</w:t>
      </w:r>
      <w:proofErr w:type="spellEnd"/>
      <w:r w:rsidRPr="00933221">
        <w:rPr>
          <w:rFonts w:ascii="Century Gothic" w:eastAsia="Century Gothic" w:hAnsi="Century Gothic" w:cs="Century Gothic"/>
          <w:b/>
          <w:bCs/>
          <w:sz w:val="20"/>
          <w:szCs w:val="20"/>
        </w:rPr>
        <w:t xml:space="preserve"> è stata assistita da STPG, tramite STPG – Scouting Capital Advisors</w:t>
      </w:r>
      <w:r w:rsidRPr="009B58D5">
        <w:rPr>
          <w:rFonts w:ascii="Century Gothic" w:eastAsia="Century Gothic" w:hAnsi="Century Gothic" w:cs="Century Gothic"/>
          <w:sz w:val="20"/>
          <w:szCs w:val="20"/>
        </w:rPr>
        <w:t xml:space="preserve"> in qualità di </w:t>
      </w:r>
      <w:r w:rsidRPr="00F41F42">
        <w:rPr>
          <w:rFonts w:ascii="Century Gothic" w:eastAsia="Century Gothic" w:hAnsi="Century Gothic" w:cs="Century Gothic"/>
          <w:b/>
          <w:bCs/>
          <w:sz w:val="20"/>
          <w:szCs w:val="20"/>
        </w:rPr>
        <w:t>advisor finanziario</w:t>
      </w:r>
      <w:r w:rsidRPr="00F41F42">
        <w:rPr>
          <w:rFonts w:ascii="Century Gothic" w:eastAsia="Century Gothic" w:hAnsi="Century Gothic" w:cs="Century Gothic"/>
          <w:sz w:val="20"/>
          <w:szCs w:val="20"/>
        </w:rPr>
        <w:t xml:space="preserve">, con </w:t>
      </w:r>
      <w:proofErr w:type="gramStart"/>
      <w:r w:rsidRPr="00F41F42">
        <w:rPr>
          <w:rFonts w:ascii="Century Gothic" w:eastAsia="Century Gothic" w:hAnsi="Century Gothic" w:cs="Century Gothic"/>
          <w:sz w:val="20"/>
          <w:szCs w:val="20"/>
        </w:rPr>
        <w:t>un team guidato</w:t>
      </w:r>
      <w:proofErr w:type="gramEnd"/>
      <w:r w:rsidR="00125AC8" w:rsidRPr="00F41F42">
        <w:rPr>
          <w:rFonts w:ascii="Century Gothic" w:eastAsia="Century Gothic" w:hAnsi="Century Gothic" w:cs="Century Gothic"/>
          <w:sz w:val="20"/>
          <w:szCs w:val="20"/>
        </w:rPr>
        <w:t xml:space="preserve"> dal </w:t>
      </w:r>
      <w:proofErr w:type="spellStart"/>
      <w:r w:rsidR="00933221" w:rsidRPr="00F41F42">
        <w:rPr>
          <w:rFonts w:ascii="Century Gothic" w:eastAsia="Century Gothic" w:hAnsi="Century Gothic" w:cs="Century Gothic"/>
          <w:sz w:val="20"/>
          <w:szCs w:val="20"/>
        </w:rPr>
        <w:t>Managing</w:t>
      </w:r>
      <w:proofErr w:type="spellEnd"/>
      <w:r w:rsidR="00933221" w:rsidRPr="00F41F42">
        <w:rPr>
          <w:rFonts w:ascii="Century Gothic" w:eastAsia="Century Gothic" w:hAnsi="Century Gothic" w:cs="Century Gothic"/>
          <w:sz w:val="20"/>
          <w:szCs w:val="20"/>
        </w:rPr>
        <w:t xml:space="preserve"> Partner </w:t>
      </w:r>
      <w:r w:rsidR="00933221" w:rsidRPr="00F41F42">
        <w:rPr>
          <w:rFonts w:ascii="Century Gothic" w:eastAsia="Century Gothic" w:hAnsi="Century Gothic" w:cs="Century Gothic"/>
          <w:b/>
          <w:bCs/>
          <w:sz w:val="20"/>
          <w:szCs w:val="20"/>
        </w:rPr>
        <w:t>Filippo Bratta</w:t>
      </w:r>
      <w:r w:rsidR="00933221" w:rsidRPr="00F41F42">
        <w:rPr>
          <w:rFonts w:ascii="Century Gothic" w:eastAsia="Century Gothic" w:hAnsi="Century Gothic" w:cs="Century Gothic"/>
          <w:sz w:val="20"/>
          <w:szCs w:val="20"/>
        </w:rPr>
        <w:t xml:space="preserve"> </w:t>
      </w:r>
      <w:r w:rsidR="001B067B" w:rsidRPr="00F41F42">
        <w:rPr>
          <w:rFonts w:ascii="Century Gothic" w:eastAsia="Century Gothic" w:hAnsi="Century Gothic" w:cs="Century Gothic"/>
          <w:sz w:val="20"/>
          <w:szCs w:val="20"/>
        </w:rPr>
        <w:t xml:space="preserve">insieme all’Analyst </w:t>
      </w:r>
      <w:r w:rsidR="001B067B" w:rsidRPr="00F41F42">
        <w:rPr>
          <w:rFonts w:ascii="Century Gothic" w:eastAsia="Century Gothic" w:hAnsi="Century Gothic" w:cs="Century Gothic"/>
          <w:b/>
          <w:bCs/>
          <w:sz w:val="20"/>
          <w:szCs w:val="20"/>
        </w:rPr>
        <w:t>Eleonora Preto</w:t>
      </w:r>
      <w:r w:rsidR="00933221" w:rsidRPr="00F41F42">
        <w:rPr>
          <w:rFonts w:ascii="Century Gothic" w:eastAsia="Century Gothic" w:hAnsi="Century Gothic" w:cs="Century Gothic"/>
          <w:sz w:val="20"/>
          <w:szCs w:val="20"/>
        </w:rPr>
        <w:t>.</w:t>
      </w:r>
    </w:p>
    <w:p w14:paraId="3B484095" w14:textId="1A478EB5" w:rsidR="00933221" w:rsidRPr="00F41F42" w:rsidRDefault="009B58D5" w:rsidP="009B58D5">
      <w:pPr>
        <w:jc w:val="both"/>
        <w:rPr>
          <w:rFonts w:ascii="Century Gothic" w:eastAsia="Century Gothic" w:hAnsi="Century Gothic" w:cs="Century Gothic"/>
          <w:sz w:val="20"/>
          <w:szCs w:val="20"/>
        </w:rPr>
      </w:pPr>
      <w:r w:rsidRPr="00F41F42">
        <w:rPr>
          <w:rFonts w:ascii="Century Gothic" w:eastAsia="Century Gothic" w:hAnsi="Century Gothic" w:cs="Century Gothic"/>
          <w:sz w:val="20"/>
          <w:szCs w:val="20"/>
        </w:rPr>
        <w:t>Per quanto riguarda l’</w:t>
      </w:r>
      <w:proofErr w:type="spellStart"/>
      <w:r w:rsidRPr="00F41F42">
        <w:rPr>
          <w:rFonts w:ascii="Century Gothic" w:eastAsia="Century Gothic" w:hAnsi="Century Gothic" w:cs="Century Gothic"/>
          <w:b/>
          <w:bCs/>
          <w:sz w:val="20"/>
          <w:szCs w:val="20"/>
        </w:rPr>
        <w:t>advisory</w:t>
      </w:r>
      <w:proofErr w:type="spellEnd"/>
      <w:r w:rsidRPr="00F41F42">
        <w:rPr>
          <w:rFonts w:ascii="Century Gothic" w:eastAsia="Century Gothic" w:hAnsi="Century Gothic" w:cs="Century Gothic"/>
          <w:b/>
          <w:bCs/>
          <w:sz w:val="20"/>
          <w:szCs w:val="20"/>
        </w:rPr>
        <w:t xml:space="preserve"> legale</w:t>
      </w:r>
      <w:r w:rsidRPr="00F41F42">
        <w:rPr>
          <w:rFonts w:ascii="Century Gothic" w:eastAsia="Century Gothic" w:hAnsi="Century Gothic" w:cs="Century Gothic"/>
          <w:sz w:val="20"/>
          <w:szCs w:val="20"/>
        </w:rPr>
        <w:t xml:space="preserve">, </w:t>
      </w:r>
      <w:proofErr w:type="spellStart"/>
      <w:r w:rsidRPr="00F41F42">
        <w:rPr>
          <w:rFonts w:ascii="Century Gothic" w:eastAsia="Century Gothic" w:hAnsi="Century Gothic" w:cs="Century Gothic"/>
          <w:sz w:val="20"/>
          <w:szCs w:val="20"/>
        </w:rPr>
        <w:t>Finrel</w:t>
      </w:r>
      <w:proofErr w:type="spellEnd"/>
      <w:r w:rsidRPr="00F41F42">
        <w:rPr>
          <w:rFonts w:ascii="Century Gothic" w:eastAsia="Century Gothic" w:hAnsi="Century Gothic" w:cs="Century Gothic"/>
          <w:sz w:val="20"/>
          <w:szCs w:val="20"/>
        </w:rPr>
        <w:t xml:space="preserve"> è stata assistita da </w:t>
      </w:r>
      <w:r w:rsidR="001B067B" w:rsidRPr="00F41F42">
        <w:rPr>
          <w:rFonts w:ascii="Century Gothic" w:eastAsia="Century Gothic" w:hAnsi="Century Gothic" w:cs="Century Gothic"/>
          <w:b/>
          <w:bCs/>
          <w:sz w:val="20"/>
          <w:szCs w:val="20"/>
        </w:rPr>
        <w:t>PWC Legal</w:t>
      </w:r>
      <w:r w:rsidRPr="00F41F42">
        <w:rPr>
          <w:rFonts w:ascii="Century Gothic" w:eastAsia="Century Gothic" w:hAnsi="Century Gothic" w:cs="Century Gothic"/>
          <w:sz w:val="20"/>
          <w:szCs w:val="20"/>
        </w:rPr>
        <w:t>,</w:t>
      </w:r>
      <w:r w:rsidR="001B067B" w:rsidRPr="00F41F42">
        <w:rPr>
          <w:rFonts w:ascii="Century Gothic" w:eastAsia="Century Gothic" w:hAnsi="Century Gothic" w:cs="Century Gothic"/>
          <w:sz w:val="20"/>
          <w:szCs w:val="20"/>
        </w:rPr>
        <w:t xml:space="preserve"> con </w:t>
      </w:r>
      <w:proofErr w:type="gramStart"/>
      <w:r w:rsidR="001B067B" w:rsidRPr="00F41F42">
        <w:rPr>
          <w:rFonts w:ascii="Century Gothic" w:eastAsia="Century Gothic" w:hAnsi="Century Gothic" w:cs="Century Gothic"/>
          <w:sz w:val="20"/>
          <w:szCs w:val="20"/>
        </w:rPr>
        <w:t>un team composto</w:t>
      </w:r>
      <w:proofErr w:type="gramEnd"/>
      <w:r w:rsidR="001B067B" w:rsidRPr="00F41F42">
        <w:rPr>
          <w:rFonts w:ascii="Century Gothic" w:eastAsia="Century Gothic" w:hAnsi="Century Gothic" w:cs="Century Gothic"/>
          <w:sz w:val="20"/>
          <w:szCs w:val="20"/>
        </w:rPr>
        <w:t xml:space="preserve"> dagli Avvocati </w:t>
      </w:r>
      <w:r w:rsidR="001B067B" w:rsidRPr="00F41F42">
        <w:rPr>
          <w:rFonts w:ascii="Century Gothic" w:eastAsia="Century Gothic" w:hAnsi="Century Gothic" w:cs="Century Gothic"/>
          <w:b/>
          <w:bCs/>
          <w:sz w:val="20"/>
          <w:szCs w:val="20"/>
        </w:rPr>
        <w:t>Michele Fava</w:t>
      </w:r>
      <w:r w:rsidR="001B067B" w:rsidRPr="00F41F42">
        <w:rPr>
          <w:rFonts w:ascii="Century Gothic" w:eastAsia="Century Gothic" w:hAnsi="Century Gothic" w:cs="Century Gothic"/>
          <w:sz w:val="20"/>
          <w:szCs w:val="20"/>
        </w:rPr>
        <w:t xml:space="preserve"> e </w:t>
      </w:r>
      <w:r w:rsidR="001B067B" w:rsidRPr="00F41F42">
        <w:rPr>
          <w:rFonts w:ascii="Century Gothic" w:eastAsia="Century Gothic" w:hAnsi="Century Gothic" w:cs="Century Gothic"/>
          <w:b/>
          <w:bCs/>
          <w:sz w:val="20"/>
          <w:szCs w:val="20"/>
        </w:rPr>
        <w:t>Giulio Della Casa</w:t>
      </w:r>
      <w:r w:rsidR="001B067B" w:rsidRPr="00F41F42">
        <w:rPr>
          <w:rFonts w:ascii="Century Gothic" w:eastAsia="Century Gothic" w:hAnsi="Century Gothic" w:cs="Century Gothic"/>
          <w:sz w:val="20"/>
          <w:szCs w:val="20"/>
        </w:rPr>
        <w:t>.</w:t>
      </w:r>
      <w:r w:rsidRPr="00F41F42">
        <w:rPr>
          <w:rFonts w:ascii="Century Gothic" w:eastAsia="Century Gothic" w:hAnsi="Century Gothic" w:cs="Century Gothic"/>
          <w:sz w:val="20"/>
          <w:szCs w:val="20"/>
        </w:rPr>
        <w:t xml:space="preserve"> </w:t>
      </w:r>
    </w:p>
    <w:p w14:paraId="32D440DA" w14:textId="2A55EBD1" w:rsidR="009B58D5" w:rsidRDefault="009B58D5" w:rsidP="009B58D5">
      <w:pPr>
        <w:jc w:val="both"/>
        <w:rPr>
          <w:rFonts w:ascii="Century Gothic" w:eastAsia="Century Gothic" w:hAnsi="Century Gothic" w:cs="Century Gothic"/>
          <w:sz w:val="20"/>
          <w:szCs w:val="20"/>
        </w:rPr>
      </w:pPr>
      <w:r w:rsidRPr="00F41F42">
        <w:rPr>
          <w:rFonts w:ascii="Century Gothic" w:eastAsia="Century Gothic" w:hAnsi="Century Gothic" w:cs="Century Gothic"/>
          <w:sz w:val="20"/>
          <w:szCs w:val="20"/>
        </w:rPr>
        <w:t xml:space="preserve">Nell’operazione </w:t>
      </w:r>
      <w:r w:rsidR="001B067B" w:rsidRPr="00F41F42">
        <w:rPr>
          <w:rFonts w:ascii="Century Gothic" w:eastAsia="Century Gothic" w:hAnsi="Century Gothic" w:cs="Century Gothic"/>
          <w:b/>
          <w:bCs/>
          <w:sz w:val="20"/>
          <w:szCs w:val="20"/>
        </w:rPr>
        <w:t>Delta Power Company</w:t>
      </w:r>
      <w:r w:rsidRPr="00F41F42">
        <w:rPr>
          <w:rFonts w:ascii="Century Gothic" w:eastAsia="Century Gothic" w:hAnsi="Century Gothic" w:cs="Century Gothic"/>
          <w:sz w:val="20"/>
          <w:szCs w:val="20"/>
        </w:rPr>
        <w:t xml:space="preserve"> è stat</w:t>
      </w:r>
      <w:r w:rsidR="00933221" w:rsidRPr="00F41F42">
        <w:rPr>
          <w:rFonts w:ascii="Century Gothic" w:eastAsia="Century Gothic" w:hAnsi="Century Gothic" w:cs="Century Gothic"/>
          <w:sz w:val="20"/>
          <w:szCs w:val="20"/>
        </w:rPr>
        <w:t>a</w:t>
      </w:r>
      <w:r w:rsidRPr="00F41F42">
        <w:rPr>
          <w:rFonts w:ascii="Century Gothic" w:eastAsia="Century Gothic" w:hAnsi="Century Gothic" w:cs="Century Gothic"/>
          <w:sz w:val="20"/>
          <w:szCs w:val="20"/>
        </w:rPr>
        <w:t xml:space="preserve"> assistit</w:t>
      </w:r>
      <w:r w:rsidR="00933221" w:rsidRPr="00F41F42">
        <w:rPr>
          <w:rFonts w:ascii="Century Gothic" w:eastAsia="Century Gothic" w:hAnsi="Century Gothic" w:cs="Century Gothic"/>
          <w:sz w:val="20"/>
          <w:szCs w:val="20"/>
        </w:rPr>
        <w:t>a</w:t>
      </w:r>
      <w:r w:rsidRPr="00F41F42">
        <w:rPr>
          <w:rFonts w:ascii="Century Gothic" w:eastAsia="Century Gothic" w:hAnsi="Century Gothic" w:cs="Century Gothic"/>
          <w:sz w:val="20"/>
          <w:szCs w:val="20"/>
        </w:rPr>
        <w:t xml:space="preserve"> da</w:t>
      </w:r>
      <w:r w:rsidR="001B067B" w:rsidRPr="00F41F42">
        <w:rPr>
          <w:rFonts w:ascii="Century Gothic" w:eastAsia="Century Gothic" w:hAnsi="Century Gothic" w:cs="Century Gothic"/>
          <w:sz w:val="20"/>
          <w:szCs w:val="20"/>
        </w:rPr>
        <w:t xml:space="preserve">llo studio </w:t>
      </w:r>
      <w:proofErr w:type="spellStart"/>
      <w:r w:rsidR="001B067B" w:rsidRPr="00F41F42">
        <w:rPr>
          <w:rFonts w:ascii="Century Gothic" w:eastAsia="Century Gothic" w:hAnsi="Century Gothic" w:cs="Century Gothic"/>
          <w:b/>
          <w:bCs/>
          <w:sz w:val="20"/>
          <w:szCs w:val="20"/>
        </w:rPr>
        <w:t>Vedder</w:t>
      </w:r>
      <w:proofErr w:type="spellEnd"/>
      <w:r w:rsidR="001B067B" w:rsidRPr="00F41F42">
        <w:rPr>
          <w:rFonts w:ascii="Century Gothic" w:eastAsia="Century Gothic" w:hAnsi="Century Gothic" w:cs="Century Gothic"/>
          <w:b/>
          <w:bCs/>
          <w:sz w:val="20"/>
          <w:szCs w:val="20"/>
        </w:rPr>
        <w:t xml:space="preserve"> Price</w:t>
      </w:r>
      <w:r w:rsidR="001B067B" w:rsidRPr="00F41F42">
        <w:rPr>
          <w:rFonts w:ascii="Century Gothic" w:eastAsia="Century Gothic" w:hAnsi="Century Gothic" w:cs="Century Gothic"/>
          <w:sz w:val="20"/>
          <w:szCs w:val="20"/>
        </w:rPr>
        <w:t xml:space="preserve"> di Chicago, con </w:t>
      </w:r>
      <w:proofErr w:type="gramStart"/>
      <w:r w:rsidR="001B067B" w:rsidRPr="00F41F42">
        <w:rPr>
          <w:rFonts w:ascii="Century Gothic" w:eastAsia="Century Gothic" w:hAnsi="Century Gothic" w:cs="Century Gothic"/>
          <w:sz w:val="20"/>
          <w:szCs w:val="20"/>
        </w:rPr>
        <w:t>un team guidato</w:t>
      </w:r>
      <w:proofErr w:type="gramEnd"/>
      <w:r w:rsidR="001B067B" w:rsidRPr="00F41F42">
        <w:rPr>
          <w:rFonts w:ascii="Century Gothic" w:eastAsia="Century Gothic" w:hAnsi="Century Gothic" w:cs="Century Gothic"/>
          <w:sz w:val="20"/>
          <w:szCs w:val="20"/>
        </w:rPr>
        <w:t xml:space="preserve"> </w:t>
      </w:r>
      <w:r w:rsidR="00FB3624" w:rsidRPr="00F41F42">
        <w:rPr>
          <w:rFonts w:ascii="Century Gothic" w:eastAsia="Century Gothic" w:hAnsi="Century Gothic" w:cs="Century Gothic"/>
          <w:sz w:val="20"/>
          <w:szCs w:val="20"/>
        </w:rPr>
        <w:t>dall’ Avv.</w:t>
      </w:r>
      <w:r w:rsidR="001B067B" w:rsidRPr="00F41F42">
        <w:rPr>
          <w:rFonts w:ascii="Century Gothic" w:eastAsia="Century Gothic" w:hAnsi="Century Gothic" w:cs="Century Gothic"/>
          <w:sz w:val="20"/>
          <w:szCs w:val="20"/>
        </w:rPr>
        <w:t xml:space="preserve"> </w:t>
      </w:r>
      <w:r w:rsidR="001B067B" w:rsidRPr="00F41F42">
        <w:rPr>
          <w:rFonts w:ascii="Century Gothic" w:eastAsia="Century Gothic" w:hAnsi="Century Gothic" w:cs="Century Gothic"/>
          <w:b/>
          <w:bCs/>
          <w:sz w:val="20"/>
          <w:szCs w:val="20"/>
        </w:rPr>
        <w:t>Guy Snyder</w:t>
      </w:r>
      <w:r w:rsidR="00FB3624" w:rsidRPr="00F41F42">
        <w:rPr>
          <w:rFonts w:ascii="Century Gothic" w:eastAsia="Century Gothic" w:hAnsi="Century Gothic" w:cs="Century Gothic"/>
          <w:sz w:val="20"/>
          <w:szCs w:val="20"/>
        </w:rPr>
        <w:t xml:space="preserve"> e dallo studio </w:t>
      </w:r>
      <w:r w:rsidR="00FB3624" w:rsidRPr="00F41F42">
        <w:rPr>
          <w:rFonts w:ascii="Century Gothic" w:eastAsia="Century Gothic" w:hAnsi="Century Gothic" w:cs="Century Gothic"/>
          <w:b/>
          <w:bCs/>
          <w:sz w:val="20"/>
          <w:szCs w:val="20"/>
        </w:rPr>
        <w:t>Nunziante Magrone</w:t>
      </w:r>
      <w:r w:rsidR="00FB3624" w:rsidRPr="00F41F42">
        <w:rPr>
          <w:rFonts w:ascii="Century Gothic" w:eastAsia="Century Gothic" w:hAnsi="Century Gothic" w:cs="Century Gothic"/>
          <w:sz w:val="20"/>
          <w:szCs w:val="20"/>
        </w:rPr>
        <w:t xml:space="preserve"> con un team composto dagli Avvocati </w:t>
      </w:r>
      <w:r w:rsidR="00FB3624" w:rsidRPr="00F41F42">
        <w:rPr>
          <w:rFonts w:ascii="Century Gothic" w:eastAsia="Century Gothic" w:hAnsi="Century Gothic" w:cs="Century Gothic"/>
          <w:b/>
          <w:bCs/>
          <w:sz w:val="20"/>
          <w:szCs w:val="20"/>
        </w:rPr>
        <w:t>Francesco Abbozzo Franzi</w:t>
      </w:r>
      <w:r w:rsidR="00FB3624" w:rsidRPr="00F41F42">
        <w:rPr>
          <w:rFonts w:ascii="Century Gothic" w:eastAsia="Century Gothic" w:hAnsi="Century Gothic" w:cs="Century Gothic"/>
          <w:sz w:val="20"/>
          <w:szCs w:val="20"/>
        </w:rPr>
        <w:t xml:space="preserve"> e </w:t>
      </w:r>
      <w:r w:rsidR="00FB3624" w:rsidRPr="00F41F42">
        <w:rPr>
          <w:rFonts w:ascii="Century Gothic" w:eastAsia="Century Gothic" w:hAnsi="Century Gothic" w:cs="Century Gothic"/>
          <w:b/>
          <w:bCs/>
          <w:sz w:val="20"/>
          <w:szCs w:val="20"/>
        </w:rPr>
        <w:t>Federico Gioffrè</w:t>
      </w:r>
      <w:r w:rsidR="00FB3624" w:rsidRPr="00F41F42">
        <w:rPr>
          <w:rFonts w:ascii="Century Gothic" w:eastAsia="Century Gothic" w:hAnsi="Century Gothic" w:cs="Century Gothic"/>
          <w:sz w:val="20"/>
          <w:szCs w:val="20"/>
        </w:rPr>
        <w:t xml:space="preserve"> </w:t>
      </w:r>
      <w:r w:rsidR="00933221" w:rsidRPr="00F41F42">
        <w:rPr>
          <w:rFonts w:ascii="Century Gothic" w:eastAsia="Century Gothic" w:hAnsi="Century Gothic" w:cs="Century Gothic"/>
          <w:sz w:val="20"/>
          <w:szCs w:val="20"/>
        </w:rPr>
        <w:t>i</w:t>
      </w:r>
      <w:r w:rsidRPr="00F41F42">
        <w:rPr>
          <w:rFonts w:ascii="Century Gothic" w:eastAsia="Century Gothic" w:hAnsi="Century Gothic" w:cs="Century Gothic"/>
          <w:sz w:val="20"/>
          <w:szCs w:val="20"/>
        </w:rPr>
        <w:t xml:space="preserve">n qualità di </w:t>
      </w:r>
      <w:r w:rsidR="00FB3624" w:rsidRPr="00F41F42">
        <w:rPr>
          <w:rFonts w:ascii="Century Gothic" w:eastAsia="Century Gothic" w:hAnsi="Century Gothic" w:cs="Century Gothic"/>
          <w:sz w:val="20"/>
          <w:szCs w:val="20"/>
        </w:rPr>
        <w:t>advisor</w:t>
      </w:r>
      <w:r w:rsidRPr="00F41F42">
        <w:rPr>
          <w:rFonts w:ascii="Century Gothic" w:eastAsia="Century Gothic" w:hAnsi="Century Gothic" w:cs="Century Gothic"/>
          <w:sz w:val="20"/>
          <w:szCs w:val="20"/>
        </w:rPr>
        <w:t xml:space="preserve"> legal</w:t>
      </w:r>
      <w:r w:rsidR="00FB3624" w:rsidRPr="00F41F42">
        <w:rPr>
          <w:rFonts w:ascii="Century Gothic" w:eastAsia="Century Gothic" w:hAnsi="Century Gothic" w:cs="Century Gothic"/>
          <w:sz w:val="20"/>
          <w:szCs w:val="20"/>
        </w:rPr>
        <w:t>i</w:t>
      </w:r>
      <w:r w:rsidRPr="00F41F42">
        <w:rPr>
          <w:rFonts w:ascii="Century Gothic" w:eastAsia="Century Gothic" w:hAnsi="Century Gothic" w:cs="Century Gothic"/>
          <w:sz w:val="20"/>
          <w:szCs w:val="20"/>
        </w:rPr>
        <w:t>.</w:t>
      </w:r>
    </w:p>
    <w:p w14:paraId="65E1F37E" w14:textId="50C1CD96" w:rsidR="00751F1C" w:rsidRDefault="00751F1C" w:rsidP="00751F1C">
      <w:pPr>
        <w:jc w:val="both"/>
        <w:rPr>
          <w:rFonts w:ascii="Century Gothic" w:eastAsia="Century Gothic" w:hAnsi="Century Gothic" w:cs="Century Gothic"/>
          <w:sz w:val="20"/>
          <w:szCs w:val="20"/>
        </w:rPr>
      </w:pPr>
    </w:p>
    <w:p w14:paraId="5F73CB1E" w14:textId="77777777" w:rsidR="00751F1C" w:rsidRDefault="00751F1C" w:rsidP="14BB9E58">
      <w:pPr>
        <w:spacing w:line="240" w:lineRule="auto"/>
        <w:contextualSpacing/>
        <w:jc w:val="both"/>
        <w:rPr>
          <w:rFonts w:ascii="Century Gothic" w:hAnsi="Century Gothic"/>
          <w:b/>
          <w:bCs/>
          <w:sz w:val="18"/>
          <w:szCs w:val="18"/>
        </w:rPr>
      </w:pPr>
      <w:bookmarkStart w:id="0" w:name="_Hlk88572166"/>
    </w:p>
    <w:p w14:paraId="2746579A" w14:textId="77777777" w:rsidR="00751F1C" w:rsidRDefault="00751F1C" w:rsidP="14BB9E58">
      <w:pPr>
        <w:spacing w:line="240" w:lineRule="auto"/>
        <w:contextualSpacing/>
        <w:jc w:val="both"/>
        <w:rPr>
          <w:rFonts w:ascii="Century Gothic" w:hAnsi="Century Gothic"/>
          <w:b/>
          <w:bCs/>
          <w:sz w:val="18"/>
          <w:szCs w:val="18"/>
        </w:rPr>
      </w:pPr>
    </w:p>
    <w:p w14:paraId="2963E709" w14:textId="77777777" w:rsidR="00751F1C" w:rsidRDefault="00751F1C" w:rsidP="14BB9E58">
      <w:pPr>
        <w:spacing w:line="240" w:lineRule="auto"/>
        <w:contextualSpacing/>
        <w:jc w:val="both"/>
        <w:rPr>
          <w:rFonts w:ascii="Century Gothic" w:hAnsi="Century Gothic"/>
          <w:b/>
          <w:bCs/>
          <w:sz w:val="18"/>
          <w:szCs w:val="18"/>
        </w:rPr>
      </w:pPr>
    </w:p>
    <w:p w14:paraId="21713041" w14:textId="5FFAE1DA" w:rsidR="00751F1C" w:rsidRDefault="00751F1C" w:rsidP="14BB9E58">
      <w:pPr>
        <w:spacing w:line="240" w:lineRule="auto"/>
        <w:contextualSpacing/>
        <w:jc w:val="both"/>
        <w:rPr>
          <w:rFonts w:ascii="Century Gothic" w:hAnsi="Century Gothic"/>
          <w:b/>
          <w:bCs/>
          <w:sz w:val="18"/>
          <w:szCs w:val="18"/>
        </w:rPr>
      </w:pPr>
    </w:p>
    <w:p w14:paraId="36B747CE" w14:textId="304A7AFC" w:rsidR="0036508E" w:rsidRDefault="0036508E" w:rsidP="14BB9E58">
      <w:pPr>
        <w:spacing w:line="240" w:lineRule="auto"/>
        <w:contextualSpacing/>
        <w:jc w:val="both"/>
        <w:rPr>
          <w:rFonts w:ascii="Century Gothic" w:hAnsi="Century Gothic"/>
          <w:b/>
          <w:bCs/>
          <w:sz w:val="18"/>
          <w:szCs w:val="18"/>
        </w:rPr>
      </w:pPr>
    </w:p>
    <w:p w14:paraId="345CE486" w14:textId="77777777" w:rsidR="0036508E" w:rsidRDefault="0036508E" w:rsidP="14BB9E58">
      <w:pPr>
        <w:spacing w:line="240" w:lineRule="auto"/>
        <w:contextualSpacing/>
        <w:jc w:val="both"/>
        <w:rPr>
          <w:rFonts w:ascii="Century Gothic" w:hAnsi="Century Gothic"/>
          <w:b/>
          <w:bCs/>
          <w:sz w:val="18"/>
          <w:szCs w:val="18"/>
        </w:rPr>
      </w:pPr>
    </w:p>
    <w:p w14:paraId="6E7085CB" w14:textId="77777777" w:rsidR="00751F1C" w:rsidRDefault="00751F1C" w:rsidP="14BB9E58">
      <w:pPr>
        <w:spacing w:line="240" w:lineRule="auto"/>
        <w:contextualSpacing/>
        <w:jc w:val="both"/>
        <w:rPr>
          <w:rFonts w:ascii="Century Gothic" w:hAnsi="Century Gothic"/>
          <w:b/>
          <w:bCs/>
          <w:sz w:val="18"/>
          <w:szCs w:val="18"/>
        </w:rPr>
      </w:pPr>
    </w:p>
    <w:p w14:paraId="2C35AA81" w14:textId="0E550369" w:rsidR="004B037E" w:rsidRPr="004B037E" w:rsidRDefault="14BB9E58" w:rsidP="004B037E">
      <w:pPr>
        <w:spacing w:line="240" w:lineRule="auto"/>
        <w:contextualSpacing/>
        <w:jc w:val="both"/>
        <w:rPr>
          <w:rFonts w:ascii="Century Gothic" w:hAnsi="Century Gothic"/>
          <w:sz w:val="18"/>
          <w:szCs w:val="18"/>
        </w:rPr>
      </w:pPr>
      <w:r w:rsidRPr="14BB9E58">
        <w:rPr>
          <w:rFonts w:ascii="Century Gothic" w:hAnsi="Century Gothic"/>
          <w:b/>
          <w:bCs/>
          <w:sz w:val="18"/>
          <w:szCs w:val="18"/>
        </w:rPr>
        <w:t>STPG - Scouting Tra Partners Group</w:t>
      </w:r>
      <w:r w:rsidRPr="14BB9E58">
        <w:rPr>
          <w:rFonts w:ascii="Century Gothic" w:hAnsi="Century Gothic"/>
          <w:sz w:val="18"/>
          <w:szCs w:val="18"/>
        </w:rPr>
        <w:t xml:space="preserve"> è una realtà internazionale indipendente attiva nel Corporate Finance tramite STPG - Scouting Capital Advisors e in ambito Family Office, con un servizio focalizzato sulle famiglie imprenditoriali ULTRA HNWI, tramite STPG - Tra Partners Scouting Sim SpA, società vigilata ed iscritta all’Albo Consob. </w:t>
      </w:r>
    </w:p>
    <w:p w14:paraId="3D90A190" w14:textId="0ABFF71F" w:rsidR="00B16FBC" w:rsidRDefault="14BB9E58" w:rsidP="14BB9E58">
      <w:pPr>
        <w:spacing w:line="240" w:lineRule="auto"/>
        <w:jc w:val="both"/>
        <w:rPr>
          <w:rFonts w:ascii="Century Gothic" w:hAnsi="Century Gothic"/>
          <w:sz w:val="18"/>
          <w:szCs w:val="18"/>
        </w:rPr>
      </w:pPr>
      <w:r w:rsidRPr="14BB9E58">
        <w:rPr>
          <w:rFonts w:ascii="Century Gothic" w:hAnsi="Century Gothic"/>
          <w:sz w:val="18"/>
          <w:szCs w:val="18"/>
        </w:rPr>
        <w:t xml:space="preserve">La holding, fondata nel 2001 da </w:t>
      </w:r>
      <w:r w:rsidRPr="14BB9E58">
        <w:rPr>
          <w:rFonts w:ascii="Century Gothic" w:hAnsi="Century Gothic"/>
          <w:b/>
          <w:bCs/>
          <w:sz w:val="18"/>
          <w:szCs w:val="18"/>
        </w:rPr>
        <w:t>Rinaldo Sassi</w:t>
      </w:r>
      <w:r w:rsidRPr="14BB9E58">
        <w:rPr>
          <w:rFonts w:ascii="Century Gothic" w:hAnsi="Century Gothic"/>
          <w:sz w:val="18"/>
          <w:szCs w:val="18"/>
        </w:rPr>
        <w:t xml:space="preserve">, oggi CEO, conta nel gruppo societario circa 40 professionisti indipendenti provenienti dalle principali banche di investimento ed ha sedi a Milano, Parma, Bologna, Padova, Lugano, New York e Miami. In aggiunta alla propria presenza diretta in USA e Svizzera, STPG ha sviluppato da più di </w:t>
      </w:r>
      <w:proofErr w:type="gramStart"/>
      <w:r w:rsidRPr="14BB9E58">
        <w:rPr>
          <w:rFonts w:ascii="Century Gothic" w:hAnsi="Century Gothic"/>
          <w:sz w:val="18"/>
          <w:szCs w:val="18"/>
        </w:rPr>
        <w:t>10</w:t>
      </w:r>
      <w:proofErr w:type="gramEnd"/>
      <w:r w:rsidRPr="14BB9E58">
        <w:rPr>
          <w:rFonts w:ascii="Century Gothic" w:hAnsi="Century Gothic"/>
          <w:sz w:val="18"/>
          <w:szCs w:val="18"/>
        </w:rPr>
        <w:t xml:space="preserve"> anni un network di advisory firms indipendenti e family offices internazionali presenti in Paesi quali, Germania, Spagna, Polonia, Olanda, Lussemburgo, Belgio, Francia, Messico, Brasile, Cile, Turchia, India, Giappone e Australia. </w:t>
      </w:r>
      <w:bookmarkEnd w:id="0"/>
    </w:p>
    <w:p w14:paraId="01782773" w14:textId="798E0951" w:rsidR="0036508E" w:rsidRPr="0036508E" w:rsidRDefault="0036508E" w:rsidP="0036508E">
      <w:pPr>
        <w:tabs>
          <w:tab w:val="left" w:pos="1230"/>
        </w:tabs>
        <w:rPr>
          <w:rFonts w:ascii="Century Gothic" w:hAnsi="Century Gothic"/>
          <w:sz w:val="20"/>
          <w:szCs w:val="20"/>
        </w:rPr>
      </w:pPr>
      <w:r>
        <w:rPr>
          <w:rFonts w:ascii="Century Gothic" w:hAnsi="Century Gothic"/>
          <w:sz w:val="20"/>
          <w:szCs w:val="20"/>
        </w:rPr>
        <w:tab/>
      </w:r>
    </w:p>
    <w:sectPr w:rsidR="0036508E" w:rsidRPr="0036508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4EA4" w14:textId="77777777" w:rsidR="00DA0722" w:rsidRDefault="00DA0722" w:rsidP="000B6DDC">
      <w:pPr>
        <w:spacing w:after="0" w:line="240" w:lineRule="auto"/>
      </w:pPr>
      <w:r>
        <w:separator/>
      </w:r>
    </w:p>
  </w:endnote>
  <w:endnote w:type="continuationSeparator" w:id="0">
    <w:p w14:paraId="769B8E40" w14:textId="77777777" w:rsidR="00DA0722" w:rsidRDefault="00DA0722" w:rsidP="000B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ACC3" w14:textId="77777777" w:rsidR="001B067B" w:rsidRDefault="001B06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A777" w14:textId="7775E886" w:rsidR="00B34A58" w:rsidRDefault="004B037E" w:rsidP="00B34A58">
    <w:pPr>
      <w:pStyle w:val="Pidipagina"/>
    </w:pPr>
    <w:r>
      <w:t xml:space="preserve">Ufficio stampa: </w:t>
    </w:r>
    <w:r w:rsidR="00B34A58" w:rsidRPr="00106D44">
      <w:rPr>
        <w:b/>
        <w:bCs/>
      </w:rPr>
      <w:t>C</w:t>
    </w:r>
    <w:r w:rsidR="00106D44" w:rsidRPr="00106D44">
      <w:rPr>
        <w:b/>
        <w:bCs/>
      </w:rPr>
      <w:t>arolina Mailander Comunicazione</w:t>
    </w:r>
  </w:p>
  <w:p w14:paraId="251741CB" w14:textId="6971BC2D" w:rsidR="00B34A58" w:rsidRDefault="00B34A58" w:rsidP="00B34A58">
    <w:pPr>
      <w:pStyle w:val="Pidipagina"/>
    </w:pPr>
    <w:r>
      <w:t xml:space="preserve">Carolina Mailander – 335 6555651 – </w:t>
    </w:r>
    <w:hyperlink r:id="rId1" w:history="1">
      <w:r w:rsidR="00751F1C" w:rsidRPr="00861DAE">
        <w:rPr>
          <w:rStyle w:val="Collegamentoipertestuale"/>
        </w:rPr>
        <w:t>carolina.mailander@cmailander.it</w:t>
      </w:r>
    </w:hyperlink>
    <w:r w:rsidR="00751F1C">
      <w:t xml:space="preserve"> </w:t>
    </w:r>
  </w:p>
  <w:p w14:paraId="35F2AA14" w14:textId="37BA54A2" w:rsidR="00B34A58" w:rsidRDefault="00B34A58" w:rsidP="00B34A58">
    <w:pPr>
      <w:pStyle w:val="Pidipagina"/>
    </w:pPr>
    <w:r>
      <w:t xml:space="preserve">Federico Blandino – 340 4792524 – </w:t>
    </w:r>
    <w:hyperlink r:id="rId2" w:history="1">
      <w:r w:rsidR="00751F1C" w:rsidRPr="00861DAE">
        <w:rPr>
          <w:rStyle w:val="Collegamentoipertestuale"/>
        </w:rPr>
        <w:t>federico.blandino@cmailander.it</w:t>
      </w:r>
    </w:hyperlink>
    <w:r w:rsidR="00751F1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9F0F" w14:textId="77777777" w:rsidR="001B067B" w:rsidRDefault="001B06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DE37" w14:textId="77777777" w:rsidR="00DA0722" w:rsidRDefault="00DA0722" w:rsidP="000B6DDC">
      <w:pPr>
        <w:spacing w:after="0" w:line="240" w:lineRule="auto"/>
      </w:pPr>
      <w:r>
        <w:separator/>
      </w:r>
    </w:p>
  </w:footnote>
  <w:footnote w:type="continuationSeparator" w:id="0">
    <w:p w14:paraId="6E8EC14C" w14:textId="77777777" w:rsidR="00DA0722" w:rsidRDefault="00DA0722" w:rsidP="000B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0006" w14:textId="77777777" w:rsidR="001B067B" w:rsidRDefault="001B06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9E6" w14:textId="6223C86F" w:rsidR="000B6DDC" w:rsidRDefault="004B037E" w:rsidP="004B037E">
    <w:pPr>
      <w:pStyle w:val="Intestazione"/>
    </w:pPr>
    <w:r>
      <w:rPr>
        <w:noProof/>
        <w:lang w:eastAsia="it-IT"/>
      </w:rPr>
      <w:drawing>
        <wp:inline distT="0" distB="0" distL="0" distR="0" wp14:anchorId="11CD485B" wp14:editId="0B5D9278">
          <wp:extent cx="1868091" cy="10287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71883" cy="10307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DD48" w14:textId="77777777" w:rsidR="001B067B" w:rsidRDefault="001B0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D8B"/>
    <w:multiLevelType w:val="hybridMultilevel"/>
    <w:tmpl w:val="6E3ED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219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8F"/>
    <w:rsid w:val="00001B3B"/>
    <w:rsid w:val="000044DD"/>
    <w:rsid w:val="00046B3E"/>
    <w:rsid w:val="000477ED"/>
    <w:rsid w:val="00052F9D"/>
    <w:rsid w:val="00053BE0"/>
    <w:rsid w:val="000873E9"/>
    <w:rsid w:val="000943BF"/>
    <w:rsid w:val="000947AD"/>
    <w:rsid w:val="000A7D14"/>
    <w:rsid w:val="000B6DDC"/>
    <w:rsid w:val="000C5F4F"/>
    <w:rsid w:val="000D301E"/>
    <w:rsid w:val="000D4F4A"/>
    <w:rsid w:val="000E5AE1"/>
    <w:rsid w:val="000E608B"/>
    <w:rsid w:val="00100570"/>
    <w:rsid w:val="00104F3C"/>
    <w:rsid w:val="00106D44"/>
    <w:rsid w:val="00112CE1"/>
    <w:rsid w:val="001200E1"/>
    <w:rsid w:val="001257A9"/>
    <w:rsid w:val="00125AC8"/>
    <w:rsid w:val="00133B0C"/>
    <w:rsid w:val="0015103F"/>
    <w:rsid w:val="001513E8"/>
    <w:rsid w:val="001564D5"/>
    <w:rsid w:val="00171ED5"/>
    <w:rsid w:val="00190E64"/>
    <w:rsid w:val="00192E35"/>
    <w:rsid w:val="001B067B"/>
    <w:rsid w:val="001C69F7"/>
    <w:rsid w:val="001D1BDD"/>
    <w:rsid w:val="001D6554"/>
    <w:rsid w:val="001D6CF3"/>
    <w:rsid w:val="001E18B0"/>
    <w:rsid w:val="00201506"/>
    <w:rsid w:val="00204976"/>
    <w:rsid w:val="002156E9"/>
    <w:rsid w:val="00247473"/>
    <w:rsid w:val="002573CF"/>
    <w:rsid w:val="002679B3"/>
    <w:rsid w:val="00272B8C"/>
    <w:rsid w:val="0028458F"/>
    <w:rsid w:val="00284EDE"/>
    <w:rsid w:val="00285D1F"/>
    <w:rsid w:val="002A1269"/>
    <w:rsid w:val="002B1A9E"/>
    <w:rsid w:val="002B1E3D"/>
    <w:rsid w:val="002B2760"/>
    <w:rsid w:val="002B525E"/>
    <w:rsid w:val="002D676B"/>
    <w:rsid w:val="00301AD2"/>
    <w:rsid w:val="003051E2"/>
    <w:rsid w:val="003133EE"/>
    <w:rsid w:val="00325C80"/>
    <w:rsid w:val="003340D8"/>
    <w:rsid w:val="003367D2"/>
    <w:rsid w:val="0036508E"/>
    <w:rsid w:val="003902F4"/>
    <w:rsid w:val="00396AF1"/>
    <w:rsid w:val="003A25A7"/>
    <w:rsid w:val="003A7B1E"/>
    <w:rsid w:val="003B1004"/>
    <w:rsid w:val="003B4287"/>
    <w:rsid w:val="003B6800"/>
    <w:rsid w:val="003D7B66"/>
    <w:rsid w:val="003F0F98"/>
    <w:rsid w:val="003F3F79"/>
    <w:rsid w:val="00402B82"/>
    <w:rsid w:val="00411673"/>
    <w:rsid w:val="00414AC1"/>
    <w:rsid w:val="00417F3E"/>
    <w:rsid w:val="004512E3"/>
    <w:rsid w:val="00461AF8"/>
    <w:rsid w:val="00464939"/>
    <w:rsid w:val="00473255"/>
    <w:rsid w:val="004765F8"/>
    <w:rsid w:val="00481B70"/>
    <w:rsid w:val="004A0F8F"/>
    <w:rsid w:val="004B037E"/>
    <w:rsid w:val="004C70F1"/>
    <w:rsid w:val="004E1F3D"/>
    <w:rsid w:val="004F7E7E"/>
    <w:rsid w:val="00523531"/>
    <w:rsid w:val="005335B9"/>
    <w:rsid w:val="005406D2"/>
    <w:rsid w:val="00565FD7"/>
    <w:rsid w:val="00590B06"/>
    <w:rsid w:val="005915F9"/>
    <w:rsid w:val="00595875"/>
    <w:rsid w:val="00595A25"/>
    <w:rsid w:val="005A2577"/>
    <w:rsid w:val="005B5161"/>
    <w:rsid w:val="005C11E3"/>
    <w:rsid w:val="005C3DD7"/>
    <w:rsid w:val="005D465E"/>
    <w:rsid w:val="005E01F4"/>
    <w:rsid w:val="005F204A"/>
    <w:rsid w:val="006206A6"/>
    <w:rsid w:val="00653730"/>
    <w:rsid w:val="00674E9F"/>
    <w:rsid w:val="00680B03"/>
    <w:rsid w:val="00683308"/>
    <w:rsid w:val="00692C30"/>
    <w:rsid w:val="006A3890"/>
    <w:rsid w:val="006B2D24"/>
    <w:rsid w:val="006C1134"/>
    <w:rsid w:val="006C1A59"/>
    <w:rsid w:val="006C320B"/>
    <w:rsid w:val="006F3FF4"/>
    <w:rsid w:val="00703D93"/>
    <w:rsid w:val="00725997"/>
    <w:rsid w:val="0073021A"/>
    <w:rsid w:val="0073066B"/>
    <w:rsid w:val="007328A1"/>
    <w:rsid w:val="00736F37"/>
    <w:rsid w:val="00740037"/>
    <w:rsid w:val="00743124"/>
    <w:rsid w:val="007465BE"/>
    <w:rsid w:val="007515A1"/>
    <w:rsid w:val="00751E0A"/>
    <w:rsid w:val="00751F1C"/>
    <w:rsid w:val="00770228"/>
    <w:rsid w:val="007970B7"/>
    <w:rsid w:val="007A7483"/>
    <w:rsid w:val="007C6FAD"/>
    <w:rsid w:val="007E5E31"/>
    <w:rsid w:val="007F1515"/>
    <w:rsid w:val="007F40B0"/>
    <w:rsid w:val="007F6709"/>
    <w:rsid w:val="00812944"/>
    <w:rsid w:val="0082253F"/>
    <w:rsid w:val="008304CB"/>
    <w:rsid w:val="00841214"/>
    <w:rsid w:val="00841458"/>
    <w:rsid w:val="0085053A"/>
    <w:rsid w:val="00855E98"/>
    <w:rsid w:val="00856A0D"/>
    <w:rsid w:val="0087716D"/>
    <w:rsid w:val="00883144"/>
    <w:rsid w:val="00886F5F"/>
    <w:rsid w:val="008A42A5"/>
    <w:rsid w:val="008A4544"/>
    <w:rsid w:val="008B6C43"/>
    <w:rsid w:val="008F0814"/>
    <w:rsid w:val="008F6B83"/>
    <w:rsid w:val="00904FE3"/>
    <w:rsid w:val="00933221"/>
    <w:rsid w:val="00952AA3"/>
    <w:rsid w:val="0095488F"/>
    <w:rsid w:val="00955428"/>
    <w:rsid w:val="00990441"/>
    <w:rsid w:val="009A05FE"/>
    <w:rsid w:val="009A2ADE"/>
    <w:rsid w:val="009A50CC"/>
    <w:rsid w:val="009B30C9"/>
    <w:rsid w:val="009B58D5"/>
    <w:rsid w:val="009D0842"/>
    <w:rsid w:val="009D6C39"/>
    <w:rsid w:val="009D6FF3"/>
    <w:rsid w:val="009E16D6"/>
    <w:rsid w:val="009E2A6F"/>
    <w:rsid w:val="009E430E"/>
    <w:rsid w:val="00A14303"/>
    <w:rsid w:val="00A15F78"/>
    <w:rsid w:val="00A25C8E"/>
    <w:rsid w:val="00A43432"/>
    <w:rsid w:val="00A46610"/>
    <w:rsid w:val="00A56B85"/>
    <w:rsid w:val="00A74259"/>
    <w:rsid w:val="00A77649"/>
    <w:rsid w:val="00A83859"/>
    <w:rsid w:val="00A9135A"/>
    <w:rsid w:val="00AE4874"/>
    <w:rsid w:val="00B16FBC"/>
    <w:rsid w:val="00B34A58"/>
    <w:rsid w:val="00B35A0C"/>
    <w:rsid w:val="00B8480B"/>
    <w:rsid w:val="00B902CD"/>
    <w:rsid w:val="00B90BC1"/>
    <w:rsid w:val="00B9305E"/>
    <w:rsid w:val="00B967C4"/>
    <w:rsid w:val="00BB20C4"/>
    <w:rsid w:val="00BB25D4"/>
    <w:rsid w:val="00BD089E"/>
    <w:rsid w:val="00BD522F"/>
    <w:rsid w:val="00BD74AD"/>
    <w:rsid w:val="00BE5528"/>
    <w:rsid w:val="00BE6948"/>
    <w:rsid w:val="00C00E45"/>
    <w:rsid w:val="00C016DE"/>
    <w:rsid w:val="00C0208D"/>
    <w:rsid w:val="00C13E01"/>
    <w:rsid w:val="00C158A9"/>
    <w:rsid w:val="00C16A94"/>
    <w:rsid w:val="00C30C6E"/>
    <w:rsid w:val="00C45391"/>
    <w:rsid w:val="00C74D70"/>
    <w:rsid w:val="00C82A6E"/>
    <w:rsid w:val="00C83D29"/>
    <w:rsid w:val="00C87788"/>
    <w:rsid w:val="00C92F1E"/>
    <w:rsid w:val="00C95587"/>
    <w:rsid w:val="00CA7DC7"/>
    <w:rsid w:val="00CB7ED2"/>
    <w:rsid w:val="00CD598D"/>
    <w:rsid w:val="00CD61FC"/>
    <w:rsid w:val="00CE0E75"/>
    <w:rsid w:val="00CE41FD"/>
    <w:rsid w:val="00CE5F59"/>
    <w:rsid w:val="00D007F3"/>
    <w:rsid w:val="00D252BB"/>
    <w:rsid w:val="00D33860"/>
    <w:rsid w:val="00D3786C"/>
    <w:rsid w:val="00D47D78"/>
    <w:rsid w:val="00D61037"/>
    <w:rsid w:val="00D61DF4"/>
    <w:rsid w:val="00D831FD"/>
    <w:rsid w:val="00D86E63"/>
    <w:rsid w:val="00DA0722"/>
    <w:rsid w:val="00DA5E23"/>
    <w:rsid w:val="00DC149B"/>
    <w:rsid w:val="00DD34EF"/>
    <w:rsid w:val="00DE4812"/>
    <w:rsid w:val="00E13257"/>
    <w:rsid w:val="00E201A5"/>
    <w:rsid w:val="00E22B52"/>
    <w:rsid w:val="00E33831"/>
    <w:rsid w:val="00E41799"/>
    <w:rsid w:val="00E45DB7"/>
    <w:rsid w:val="00E51184"/>
    <w:rsid w:val="00E609C9"/>
    <w:rsid w:val="00E64BC8"/>
    <w:rsid w:val="00E7119A"/>
    <w:rsid w:val="00E8323B"/>
    <w:rsid w:val="00E86D61"/>
    <w:rsid w:val="00E87216"/>
    <w:rsid w:val="00E925F0"/>
    <w:rsid w:val="00EA398C"/>
    <w:rsid w:val="00EA39FF"/>
    <w:rsid w:val="00EA459C"/>
    <w:rsid w:val="00EA7CAE"/>
    <w:rsid w:val="00ED593F"/>
    <w:rsid w:val="00EE2D88"/>
    <w:rsid w:val="00EE5AF2"/>
    <w:rsid w:val="00F03AB8"/>
    <w:rsid w:val="00F05E7E"/>
    <w:rsid w:val="00F10C01"/>
    <w:rsid w:val="00F35CC0"/>
    <w:rsid w:val="00F41F42"/>
    <w:rsid w:val="00F50AB5"/>
    <w:rsid w:val="00F53B78"/>
    <w:rsid w:val="00F64F80"/>
    <w:rsid w:val="00F90CF5"/>
    <w:rsid w:val="00F9564F"/>
    <w:rsid w:val="00F96AFB"/>
    <w:rsid w:val="00F97F54"/>
    <w:rsid w:val="00FA3B7C"/>
    <w:rsid w:val="00FB3624"/>
    <w:rsid w:val="00FC35F5"/>
    <w:rsid w:val="00FC43F0"/>
    <w:rsid w:val="00FD21D4"/>
    <w:rsid w:val="00FD45F2"/>
    <w:rsid w:val="00FD77F3"/>
    <w:rsid w:val="00FE0880"/>
    <w:rsid w:val="00FE2858"/>
    <w:rsid w:val="00FF15DE"/>
    <w:rsid w:val="00FF3A57"/>
    <w:rsid w:val="00FF7548"/>
    <w:rsid w:val="00FF7CF9"/>
    <w:rsid w:val="14BB9E58"/>
    <w:rsid w:val="269AB1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4FE3F"/>
  <w15:chartTrackingRefBased/>
  <w15:docId w15:val="{1DDB325B-6287-4B89-A367-127FC1F8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25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6D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6DDC"/>
  </w:style>
  <w:style w:type="paragraph" w:styleId="Pidipagina">
    <w:name w:val="footer"/>
    <w:basedOn w:val="Normale"/>
    <w:link w:val="PidipaginaCarattere"/>
    <w:uiPriority w:val="99"/>
    <w:unhideWhenUsed/>
    <w:rsid w:val="000B6D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6DDC"/>
  </w:style>
  <w:style w:type="paragraph" w:styleId="Testofumetto">
    <w:name w:val="Balloon Text"/>
    <w:basedOn w:val="Normale"/>
    <w:link w:val="TestofumettoCarattere"/>
    <w:uiPriority w:val="99"/>
    <w:semiHidden/>
    <w:unhideWhenUsed/>
    <w:rsid w:val="003902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02F4"/>
    <w:rPr>
      <w:rFonts w:ascii="Segoe UI" w:hAnsi="Segoe UI" w:cs="Segoe UI"/>
      <w:sz w:val="18"/>
      <w:szCs w:val="18"/>
    </w:rPr>
  </w:style>
  <w:style w:type="paragraph" w:styleId="Revisione">
    <w:name w:val="Revision"/>
    <w:hidden/>
    <w:uiPriority w:val="99"/>
    <w:semiHidden/>
    <w:rsid w:val="00E13257"/>
    <w:pPr>
      <w:spacing w:after="0" w:line="240" w:lineRule="auto"/>
    </w:pPr>
  </w:style>
  <w:style w:type="character" w:styleId="Rimandocommento">
    <w:name w:val="annotation reference"/>
    <w:basedOn w:val="Carpredefinitoparagrafo"/>
    <w:uiPriority w:val="99"/>
    <w:semiHidden/>
    <w:unhideWhenUsed/>
    <w:rsid w:val="00D61DF4"/>
    <w:rPr>
      <w:sz w:val="16"/>
      <w:szCs w:val="16"/>
    </w:rPr>
  </w:style>
  <w:style w:type="paragraph" w:styleId="Testocommento">
    <w:name w:val="annotation text"/>
    <w:basedOn w:val="Normale"/>
    <w:link w:val="TestocommentoCarattere"/>
    <w:uiPriority w:val="99"/>
    <w:semiHidden/>
    <w:unhideWhenUsed/>
    <w:rsid w:val="00D61D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1DF4"/>
    <w:rPr>
      <w:sz w:val="20"/>
      <w:szCs w:val="20"/>
    </w:rPr>
  </w:style>
  <w:style w:type="paragraph" w:styleId="Soggettocommento">
    <w:name w:val="annotation subject"/>
    <w:basedOn w:val="Testocommento"/>
    <w:next w:val="Testocommento"/>
    <w:link w:val="SoggettocommentoCarattere"/>
    <w:uiPriority w:val="99"/>
    <w:semiHidden/>
    <w:unhideWhenUsed/>
    <w:rsid w:val="00D61DF4"/>
    <w:rPr>
      <w:b/>
      <w:bCs/>
    </w:rPr>
  </w:style>
  <w:style w:type="character" w:customStyle="1" w:styleId="SoggettocommentoCarattere">
    <w:name w:val="Soggetto commento Carattere"/>
    <w:basedOn w:val="TestocommentoCarattere"/>
    <w:link w:val="Soggettocommento"/>
    <w:uiPriority w:val="99"/>
    <w:semiHidden/>
    <w:rsid w:val="00D61DF4"/>
    <w:rPr>
      <w:b/>
      <w:bCs/>
      <w:sz w:val="20"/>
      <w:szCs w:val="20"/>
    </w:rPr>
  </w:style>
  <w:style w:type="paragraph" w:styleId="Paragrafoelenco">
    <w:name w:val="List Paragraph"/>
    <w:basedOn w:val="Normale"/>
    <w:uiPriority w:val="34"/>
    <w:qFormat/>
    <w:rsid w:val="008F6B83"/>
    <w:pPr>
      <w:ind w:left="720"/>
      <w:contextualSpacing/>
    </w:pPr>
  </w:style>
  <w:style w:type="paragraph" w:customStyle="1" w:styleId="Didefault">
    <w:name w:val="Di default"/>
    <w:rsid w:val="004B037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751F1C"/>
    <w:rPr>
      <w:color w:val="0563C1" w:themeColor="hyperlink"/>
      <w:u w:val="single"/>
    </w:rPr>
  </w:style>
  <w:style w:type="character" w:styleId="Menzionenonrisolta">
    <w:name w:val="Unresolved Mention"/>
    <w:basedOn w:val="Carpredefinitoparagrafo"/>
    <w:uiPriority w:val="99"/>
    <w:semiHidden/>
    <w:unhideWhenUsed/>
    <w:rsid w:val="0075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federico.blandino@cmailander.it" TargetMode="External"/><Relationship Id="rId1" Type="http://schemas.openxmlformats.org/officeDocument/2006/relationships/hyperlink" Target="mailto:carolina.mailander@cmailander.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85FA-5732-4DB2-9AC2-7ECA48E4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396</Words>
  <Characters>2258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Corigliano</dc:creator>
  <cp:keywords/>
  <dc:description/>
  <cp:lastModifiedBy>Federico Blandino</cp:lastModifiedBy>
  <cp:revision>15</cp:revision>
  <cp:lastPrinted>2021-12-21T14:53:00Z</cp:lastPrinted>
  <dcterms:created xsi:type="dcterms:W3CDTF">2022-02-04T12:03:00Z</dcterms:created>
  <dcterms:modified xsi:type="dcterms:W3CDTF">2022-04-07T10:30:00Z</dcterms:modified>
  <cp:contentStatus/>
</cp:coreProperties>
</file>