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21BA6" w14:textId="0B8A5EE0" w:rsidR="00FD67F9" w:rsidRPr="007C09CB" w:rsidRDefault="007C09CB" w:rsidP="007C09CB">
      <w:pPr>
        <w:spacing w:before="123" w:line="240" w:lineRule="auto"/>
        <w:jc w:val="center"/>
        <w:rPr>
          <w:rFonts w:ascii="Century Gothic" w:hAnsi="Century Gothic"/>
          <w:b/>
          <w:bCs/>
          <w:color w:val="000000"/>
        </w:rPr>
      </w:pPr>
      <w:bookmarkStart w:id="0" w:name="_Hlk102653916"/>
      <w:r w:rsidRPr="007C09CB">
        <w:rPr>
          <w:rFonts w:ascii="Century Gothic" w:hAnsi="Century Gothic"/>
          <w:b/>
          <w:bCs/>
          <w:color w:val="000000"/>
        </w:rPr>
        <w:t xml:space="preserve">La società di gestione del risparmio Blue SGR acquisisce </w:t>
      </w:r>
      <w:r w:rsidRPr="007C09CB">
        <w:rPr>
          <w:rFonts w:ascii="Century Gothic" w:hAnsi="Century Gothic"/>
          <w:b/>
          <w:bCs/>
        </w:rPr>
        <w:t xml:space="preserve">un asset </w:t>
      </w:r>
      <w:r>
        <w:rPr>
          <w:rFonts w:ascii="Century Gothic" w:hAnsi="Century Gothic"/>
          <w:b/>
          <w:bCs/>
        </w:rPr>
        <w:t>nel lecchese</w:t>
      </w:r>
      <w:r w:rsidRPr="007C09CB">
        <w:rPr>
          <w:rFonts w:ascii="Century Gothic" w:hAnsi="Century Gothic"/>
          <w:b/>
          <w:bCs/>
        </w:rPr>
        <w:t xml:space="preserve"> </w:t>
      </w:r>
      <w:r>
        <w:rPr>
          <w:rFonts w:ascii="Century Gothic" w:hAnsi="Century Gothic"/>
          <w:b/>
          <w:bCs/>
        </w:rPr>
        <w:t xml:space="preserve">ad uso </w:t>
      </w:r>
      <w:proofErr w:type="spellStart"/>
      <w:r>
        <w:rPr>
          <w:rFonts w:ascii="Century Gothic" w:hAnsi="Century Gothic"/>
          <w:b/>
          <w:bCs/>
        </w:rPr>
        <w:t>Grocery</w:t>
      </w:r>
      <w:proofErr w:type="spellEnd"/>
      <w:r>
        <w:rPr>
          <w:rFonts w:ascii="Century Gothic" w:hAnsi="Century Gothic"/>
          <w:b/>
          <w:bCs/>
        </w:rPr>
        <w:t xml:space="preserve"> per</w:t>
      </w:r>
      <w:r w:rsidRPr="007C09CB">
        <w:rPr>
          <w:rFonts w:ascii="Century Gothic" w:hAnsi="Century Gothic"/>
          <w:b/>
          <w:bCs/>
        </w:rPr>
        <w:t xml:space="preserve"> Unes</w:t>
      </w:r>
    </w:p>
    <w:p w14:paraId="26FC4E6A" w14:textId="3858FA4C" w:rsidR="00FD67F9" w:rsidRPr="007C09CB" w:rsidRDefault="00FD67F9" w:rsidP="00BE7FB8">
      <w:pPr>
        <w:spacing w:before="123" w:line="240" w:lineRule="auto"/>
        <w:jc w:val="both"/>
        <w:rPr>
          <w:rFonts w:ascii="Century Gothic" w:hAnsi="Century Gothic"/>
          <w:color w:val="000000"/>
        </w:rPr>
      </w:pPr>
    </w:p>
    <w:bookmarkEnd w:id="0"/>
    <w:p w14:paraId="004DAD26" w14:textId="4E74A9D8" w:rsidR="00DC781E" w:rsidRPr="007C09CB" w:rsidRDefault="00DC781E" w:rsidP="00FD67F9">
      <w:pPr>
        <w:pStyle w:val="BodyCopy"/>
        <w:jc w:val="both"/>
        <w:rPr>
          <w:rFonts w:ascii="Century Gothic" w:hAnsi="Century Gothic"/>
          <w:color w:val="auto"/>
          <w:sz w:val="22"/>
          <w:szCs w:val="22"/>
          <w:lang w:val="it-IT"/>
        </w:rPr>
      </w:pPr>
      <w:r w:rsidRPr="007C09CB">
        <w:rPr>
          <w:rFonts w:ascii="Century Gothic" w:hAnsi="Century Gothic"/>
          <w:b/>
          <w:bCs/>
          <w:color w:val="auto"/>
          <w:sz w:val="22"/>
          <w:szCs w:val="22"/>
          <w:lang w:val="it-IT"/>
        </w:rPr>
        <w:t>Blue SGR</w:t>
      </w:r>
      <w:r w:rsidRPr="007C09CB">
        <w:rPr>
          <w:rFonts w:ascii="Century Gothic" w:hAnsi="Century Gothic"/>
          <w:color w:val="auto"/>
          <w:sz w:val="22"/>
          <w:szCs w:val="22"/>
          <w:lang w:val="it-IT"/>
        </w:rPr>
        <w:t>,</w:t>
      </w:r>
      <w:r w:rsidRPr="007C09CB">
        <w:rPr>
          <w:rFonts w:ascii="Century Gothic" w:hAnsi="Century Gothic"/>
          <w:color w:val="auto"/>
          <w:sz w:val="22"/>
          <w:szCs w:val="22"/>
          <w:lang w:val="it-IT"/>
        </w:rPr>
        <w:t xml:space="preserve"> </w:t>
      </w:r>
      <w:r w:rsidRPr="007C09CB">
        <w:rPr>
          <w:rFonts w:ascii="Century Gothic" w:hAnsi="Century Gothic"/>
          <w:color w:val="auto"/>
          <w:sz w:val="22"/>
          <w:szCs w:val="22"/>
          <w:lang w:val="it-IT"/>
        </w:rPr>
        <w:t xml:space="preserve">società di gestione del risparmio </w:t>
      </w:r>
      <w:r w:rsidRPr="007C09CB">
        <w:rPr>
          <w:rFonts w:ascii="Century Gothic" w:hAnsi="Century Gothic" w:cs="Helvetica"/>
          <w:color w:val="auto"/>
          <w:sz w:val="22"/>
          <w:szCs w:val="22"/>
          <w:shd w:val="clear" w:color="auto" w:fill="FFFFFF"/>
          <w:lang w:val="it-IT"/>
        </w:rPr>
        <w:t>guidata da </w:t>
      </w:r>
      <w:r w:rsidRPr="007C09CB">
        <w:rPr>
          <w:rFonts w:ascii="Century Gothic" w:hAnsi="Century Gothic" w:cs="Helvetica"/>
          <w:b/>
          <w:bCs/>
          <w:color w:val="auto"/>
          <w:sz w:val="22"/>
          <w:szCs w:val="22"/>
          <w:bdr w:val="none" w:sz="0" w:space="0" w:color="auto" w:frame="1"/>
          <w:shd w:val="clear" w:color="auto" w:fill="FFFFFF"/>
          <w:lang w:val="it-IT"/>
        </w:rPr>
        <w:t>Paolo Rella</w:t>
      </w:r>
      <w:r w:rsidRPr="007C09CB">
        <w:rPr>
          <w:rFonts w:ascii="Century Gothic" w:hAnsi="Century Gothic" w:cs="Helvetica"/>
          <w:color w:val="auto"/>
          <w:sz w:val="22"/>
          <w:szCs w:val="22"/>
          <w:shd w:val="clear" w:color="auto" w:fill="FFFFFF"/>
          <w:lang w:val="it-IT"/>
        </w:rPr>
        <w:t> e presieduta da </w:t>
      </w:r>
      <w:r w:rsidRPr="007C09CB">
        <w:rPr>
          <w:rFonts w:ascii="Century Gothic" w:hAnsi="Century Gothic" w:cs="Helvetica"/>
          <w:b/>
          <w:bCs/>
          <w:color w:val="auto"/>
          <w:sz w:val="22"/>
          <w:szCs w:val="22"/>
          <w:bdr w:val="none" w:sz="0" w:space="0" w:color="auto" w:frame="1"/>
          <w:shd w:val="clear" w:color="auto" w:fill="FFFFFF"/>
          <w:lang w:val="it-IT"/>
        </w:rPr>
        <w:t>Carlo Puri Negr</w:t>
      </w:r>
      <w:r w:rsidRPr="007C09CB">
        <w:rPr>
          <w:rFonts w:ascii="Century Gothic" w:hAnsi="Century Gothic" w:cs="Helvetica"/>
          <w:b/>
          <w:bCs/>
          <w:color w:val="auto"/>
          <w:sz w:val="22"/>
          <w:szCs w:val="22"/>
          <w:bdr w:val="none" w:sz="0" w:space="0" w:color="auto" w:frame="1"/>
          <w:shd w:val="clear" w:color="auto" w:fill="FFFFFF"/>
          <w:lang w:val="it-IT"/>
        </w:rPr>
        <w:t xml:space="preserve">i </w:t>
      </w:r>
      <w:r w:rsidRPr="007C09CB">
        <w:rPr>
          <w:rFonts w:ascii="Century Gothic" w:hAnsi="Century Gothic" w:cs="Helvetica"/>
          <w:color w:val="auto"/>
          <w:sz w:val="22"/>
          <w:szCs w:val="22"/>
          <w:bdr w:val="none" w:sz="0" w:space="0" w:color="auto" w:frame="1"/>
          <w:shd w:val="clear" w:color="auto" w:fill="FFFFFF"/>
          <w:lang w:val="it-IT"/>
        </w:rPr>
        <w:t>in seguito al loro</w:t>
      </w:r>
      <w:r w:rsidR="00C00FAF" w:rsidRPr="007C09CB">
        <w:rPr>
          <w:rFonts w:ascii="Century Gothic" w:hAnsi="Century Gothic" w:cs="Helvetica"/>
          <w:color w:val="auto"/>
          <w:sz w:val="22"/>
          <w:szCs w:val="22"/>
          <w:bdr w:val="none" w:sz="0" w:space="0" w:color="auto" w:frame="1"/>
          <w:shd w:val="clear" w:color="auto" w:fill="FFFFFF"/>
          <w:lang w:val="it-IT"/>
        </w:rPr>
        <w:t xml:space="preserve"> buyout</w:t>
      </w:r>
      <w:r w:rsidRPr="007C09CB">
        <w:rPr>
          <w:rFonts w:ascii="Century Gothic" w:hAnsi="Century Gothic" w:cs="Helvetica"/>
          <w:color w:val="auto"/>
          <w:sz w:val="22"/>
          <w:szCs w:val="22"/>
          <w:bdr w:val="none" w:sz="0" w:space="0" w:color="auto" w:frame="1"/>
          <w:shd w:val="clear" w:color="auto" w:fill="FFFFFF"/>
          <w:lang w:val="it-IT"/>
        </w:rPr>
        <w:t xml:space="preserve"> sulla </w:t>
      </w:r>
      <w:hyperlink r:id="rId6" w:history="1">
        <w:r w:rsidRPr="007C09CB">
          <w:rPr>
            <w:rFonts w:ascii="Century Gothic" w:hAnsi="Century Gothic" w:cs="Helvetica"/>
            <w:b/>
            <w:bCs/>
            <w:color w:val="FFC000" w:themeColor="accent4"/>
            <w:sz w:val="22"/>
            <w:szCs w:val="22"/>
            <w:u w:val="single"/>
            <w:bdr w:val="none" w:sz="0" w:space="0" w:color="auto" w:frame="1"/>
            <w:shd w:val="clear" w:color="auto" w:fill="FFFFFF"/>
            <w:lang w:val="it-IT"/>
          </w:rPr>
          <w:t>ex </w:t>
        </w:r>
        <w:r w:rsidRPr="007C09CB">
          <w:rPr>
            <w:rFonts w:ascii="Century Gothic" w:hAnsi="Century Gothic" w:cs="Helvetica"/>
            <w:b/>
            <w:bCs/>
            <w:color w:val="EEAB00"/>
            <w:sz w:val="22"/>
            <w:szCs w:val="22"/>
            <w:u w:val="single"/>
            <w:bdr w:val="none" w:sz="0" w:space="0" w:color="auto" w:frame="1"/>
            <w:shd w:val="clear" w:color="auto" w:fill="FFFFFF"/>
            <w:lang w:val="it-IT"/>
          </w:rPr>
          <w:t>Sator Immobiliare sgr</w:t>
        </w:r>
      </w:hyperlink>
      <w:r w:rsidRPr="007C09CB">
        <w:rPr>
          <w:rFonts w:ascii="Century Gothic" w:hAnsi="Century Gothic" w:cs="Helvetica"/>
          <w:color w:val="333333"/>
          <w:sz w:val="22"/>
          <w:szCs w:val="22"/>
          <w:shd w:val="clear" w:color="auto" w:fill="FFFFFF"/>
          <w:lang w:val="it-IT"/>
        </w:rPr>
        <w:t xml:space="preserve"> nell’estate 2020, ha </w:t>
      </w:r>
      <w:r w:rsidRPr="007C09CB">
        <w:rPr>
          <w:rFonts w:ascii="Century Gothic" w:hAnsi="Century Gothic" w:cs="Helvetica"/>
          <w:color w:val="auto"/>
          <w:sz w:val="22"/>
          <w:szCs w:val="22"/>
          <w:shd w:val="clear" w:color="auto" w:fill="FFFFFF"/>
          <w:lang w:val="it-IT"/>
        </w:rPr>
        <w:t>acquis</w:t>
      </w:r>
      <w:r w:rsidR="007C09CB" w:rsidRPr="007C09CB">
        <w:rPr>
          <w:rFonts w:ascii="Century Gothic" w:hAnsi="Century Gothic" w:cs="Helvetica"/>
          <w:color w:val="auto"/>
          <w:sz w:val="22"/>
          <w:szCs w:val="22"/>
          <w:shd w:val="clear" w:color="auto" w:fill="FFFFFF"/>
          <w:lang w:val="it-IT"/>
        </w:rPr>
        <w:t>it</w:t>
      </w:r>
      <w:r w:rsidRPr="007C09CB">
        <w:rPr>
          <w:rFonts w:ascii="Century Gothic" w:hAnsi="Century Gothic" w:cs="Helvetica"/>
          <w:color w:val="auto"/>
          <w:sz w:val="22"/>
          <w:szCs w:val="22"/>
          <w:shd w:val="clear" w:color="auto" w:fill="FFFFFF"/>
          <w:lang w:val="it-IT"/>
        </w:rPr>
        <w:t xml:space="preserve">o tramite il </w:t>
      </w:r>
      <w:r w:rsidRPr="007C09CB">
        <w:rPr>
          <w:rFonts w:ascii="Century Gothic" w:hAnsi="Century Gothic"/>
          <w:color w:val="auto"/>
          <w:sz w:val="22"/>
          <w:szCs w:val="22"/>
          <w:lang w:val="it-IT"/>
        </w:rPr>
        <w:t xml:space="preserve">Fondo Alba un asset a Barzanò </w:t>
      </w:r>
      <w:r w:rsidRPr="007C09CB">
        <w:rPr>
          <w:rFonts w:ascii="Century Gothic" w:hAnsi="Century Gothic"/>
          <w:color w:val="auto"/>
          <w:sz w:val="22"/>
          <w:szCs w:val="22"/>
          <w:lang w:val="it-IT"/>
        </w:rPr>
        <w:t xml:space="preserve">(LC) </w:t>
      </w:r>
      <w:r w:rsidR="007C09CB" w:rsidRPr="007C09CB">
        <w:rPr>
          <w:rFonts w:ascii="Century Gothic" w:hAnsi="Century Gothic"/>
          <w:color w:val="auto"/>
          <w:sz w:val="22"/>
          <w:szCs w:val="22"/>
          <w:lang w:val="it-IT"/>
        </w:rPr>
        <w:t xml:space="preserve">ceduto </w:t>
      </w:r>
      <w:r w:rsidRPr="007C09CB">
        <w:rPr>
          <w:rFonts w:ascii="Century Gothic" w:hAnsi="Century Gothic"/>
          <w:color w:val="auto"/>
          <w:sz w:val="22"/>
          <w:szCs w:val="22"/>
          <w:lang w:val="it-IT"/>
        </w:rPr>
        <w:t xml:space="preserve">dal </w:t>
      </w:r>
      <w:r w:rsidR="00FD67F9" w:rsidRPr="007C09CB">
        <w:rPr>
          <w:rFonts w:ascii="Century Gothic" w:hAnsi="Century Gothic"/>
          <w:color w:val="auto"/>
          <w:sz w:val="22"/>
          <w:szCs w:val="22"/>
          <w:lang w:val="it-IT"/>
        </w:rPr>
        <w:t>Fondo Boccaccio</w:t>
      </w:r>
      <w:r w:rsidRPr="007C09CB">
        <w:rPr>
          <w:rFonts w:ascii="Century Gothic" w:hAnsi="Century Gothic"/>
          <w:color w:val="auto"/>
          <w:sz w:val="22"/>
          <w:szCs w:val="22"/>
          <w:lang w:val="it-IT"/>
        </w:rPr>
        <w:t>,</w:t>
      </w:r>
      <w:r w:rsidR="00FD67F9" w:rsidRPr="007C09CB">
        <w:rPr>
          <w:rFonts w:ascii="Century Gothic" w:hAnsi="Century Gothic"/>
          <w:color w:val="auto"/>
          <w:sz w:val="22"/>
          <w:szCs w:val="22"/>
          <w:lang w:val="it-IT"/>
        </w:rPr>
        <w:t xml:space="preserve"> gestito da </w:t>
      </w:r>
      <w:proofErr w:type="spellStart"/>
      <w:r w:rsidR="00FD67F9" w:rsidRPr="007C09CB">
        <w:rPr>
          <w:rFonts w:ascii="Century Gothic" w:hAnsi="Century Gothic"/>
          <w:b/>
          <w:bCs/>
          <w:color w:val="auto"/>
          <w:sz w:val="22"/>
          <w:szCs w:val="22"/>
          <w:lang w:val="it-IT"/>
        </w:rPr>
        <w:t>Savills</w:t>
      </w:r>
      <w:proofErr w:type="spellEnd"/>
      <w:r w:rsidR="00FD67F9" w:rsidRPr="007C09CB">
        <w:rPr>
          <w:rFonts w:ascii="Century Gothic" w:hAnsi="Century Gothic"/>
          <w:b/>
          <w:bCs/>
          <w:color w:val="auto"/>
          <w:sz w:val="22"/>
          <w:szCs w:val="22"/>
          <w:lang w:val="it-IT"/>
        </w:rPr>
        <w:t xml:space="preserve"> Investment Management SGR S</w:t>
      </w:r>
      <w:r w:rsidRPr="007C09CB">
        <w:rPr>
          <w:rFonts w:ascii="Century Gothic" w:hAnsi="Century Gothic"/>
          <w:b/>
          <w:bCs/>
          <w:color w:val="auto"/>
          <w:sz w:val="22"/>
          <w:szCs w:val="22"/>
          <w:lang w:val="it-IT"/>
        </w:rPr>
        <w:t>pa</w:t>
      </w:r>
      <w:r w:rsidRPr="007C09CB">
        <w:rPr>
          <w:rFonts w:ascii="Century Gothic" w:hAnsi="Century Gothic"/>
          <w:color w:val="auto"/>
          <w:sz w:val="22"/>
          <w:szCs w:val="22"/>
          <w:lang w:val="it-IT"/>
        </w:rPr>
        <w:t xml:space="preserve"> che nell’operazione è stato assistito dal consulente immobiliare CBRE </w:t>
      </w:r>
      <w:r w:rsidRPr="007C09CB">
        <w:rPr>
          <w:rFonts w:ascii="Century Gothic" w:eastAsiaTheme="minorHAnsi" w:hAnsi="Century Gothic" w:cs="Helvetica"/>
          <w:color w:val="333333"/>
          <w:sz w:val="22"/>
          <w:szCs w:val="22"/>
          <w:shd w:val="clear" w:color="auto" w:fill="FFFFFF"/>
          <w:lang w:val="it-IT"/>
        </w:rPr>
        <w:t>(si veda </w:t>
      </w:r>
      <w:hyperlink r:id="rId7" w:history="1">
        <w:r w:rsidRPr="007C09CB">
          <w:rPr>
            <w:rFonts w:ascii="Century Gothic" w:eastAsiaTheme="minorHAnsi" w:hAnsi="Century Gothic" w:cs="Helvetica"/>
            <w:color w:val="EEAB00"/>
            <w:sz w:val="22"/>
            <w:szCs w:val="22"/>
            <w:u w:val="single"/>
            <w:bdr w:val="none" w:sz="0" w:space="0" w:color="auto" w:frame="1"/>
            <w:shd w:val="clear" w:color="auto" w:fill="FFFFFF"/>
            <w:lang w:val="it-IT"/>
          </w:rPr>
          <w:t>qui il comunicato stampa</w:t>
        </w:r>
      </w:hyperlink>
      <w:r w:rsidRPr="007C09CB">
        <w:rPr>
          <w:rFonts w:ascii="Century Gothic" w:eastAsiaTheme="minorHAnsi" w:hAnsi="Century Gothic" w:cs="Helvetica"/>
          <w:color w:val="333333"/>
          <w:sz w:val="22"/>
          <w:szCs w:val="22"/>
          <w:shd w:val="clear" w:color="auto" w:fill="FFFFFF"/>
          <w:lang w:val="it-IT"/>
        </w:rPr>
        <w:t>). </w:t>
      </w:r>
    </w:p>
    <w:p w14:paraId="2B2E5B8A" w14:textId="77777777" w:rsidR="00DC781E" w:rsidRPr="007C09CB" w:rsidRDefault="00DC781E" w:rsidP="00FD67F9">
      <w:pPr>
        <w:pStyle w:val="BodyCopy"/>
        <w:jc w:val="both"/>
        <w:rPr>
          <w:rFonts w:ascii="Century Gothic" w:hAnsi="Century Gothic"/>
          <w:color w:val="auto"/>
          <w:sz w:val="22"/>
          <w:szCs w:val="22"/>
          <w:lang w:val="it-IT"/>
        </w:rPr>
      </w:pPr>
    </w:p>
    <w:p w14:paraId="1939557A" w14:textId="014FD429" w:rsidR="00FD67F9" w:rsidRPr="007C09CB" w:rsidRDefault="00FD67F9" w:rsidP="00FD67F9">
      <w:pPr>
        <w:pStyle w:val="BodyCopy"/>
        <w:jc w:val="both"/>
        <w:rPr>
          <w:rFonts w:ascii="Century Gothic" w:hAnsi="Century Gothic"/>
          <w:color w:val="auto"/>
          <w:sz w:val="22"/>
          <w:szCs w:val="22"/>
          <w:lang w:val="it-IT"/>
        </w:rPr>
      </w:pPr>
      <w:r w:rsidRPr="007C09CB">
        <w:rPr>
          <w:rFonts w:ascii="Century Gothic" w:hAnsi="Century Gothic"/>
          <w:color w:val="auto"/>
          <w:sz w:val="22"/>
          <w:szCs w:val="22"/>
          <w:lang w:val="it-IT"/>
        </w:rPr>
        <w:t xml:space="preserve">L’asset si sviluppa su una superficie totale di 2.300 mq ed è destinato all’uso </w:t>
      </w:r>
      <w:proofErr w:type="spellStart"/>
      <w:r w:rsidRPr="007C09CB">
        <w:rPr>
          <w:rFonts w:ascii="Century Gothic" w:hAnsi="Century Gothic"/>
          <w:color w:val="auto"/>
          <w:sz w:val="22"/>
          <w:szCs w:val="22"/>
          <w:lang w:val="it-IT"/>
        </w:rPr>
        <w:t>Grocery</w:t>
      </w:r>
      <w:proofErr w:type="spellEnd"/>
      <w:r w:rsidR="00DC781E" w:rsidRPr="007C09CB">
        <w:rPr>
          <w:rFonts w:ascii="Century Gothic" w:hAnsi="Century Gothic"/>
          <w:color w:val="auto"/>
          <w:sz w:val="22"/>
          <w:szCs w:val="22"/>
          <w:lang w:val="it-IT"/>
        </w:rPr>
        <w:t xml:space="preserve">, </w:t>
      </w:r>
      <w:r w:rsidRPr="007C09CB">
        <w:rPr>
          <w:rFonts w:ascii="Century Gothic" w:hAnsi="Century Gothic"/>
          <w:color w:val="auto"/>
          <w:sz w:val="22"/>
          <w:szCs w:val="22"/>
          <w:lang w:val="it-IT"/>
        </w:rPr>
        <w:t>ospita</w:t>
      </w:r>
      <w:r w:rsidR="00DC781E" w:rsidRPr="007C09CB">
        <w:rPr>
          <w:rFonts w:ascii="Century Gothic" w:hAnsi="Century Gothic"/>
          <w:color w:val="auto"/>
          <w:sz w:val="22"/>
          <w:szCs w:val="22"/>
          <w:lang w:val="it-IT"/>
        </w:rPr>
        <w:t>ndo</w:t>
      </w:r>
      <w:r w:rsidRPr="007C09CB">
        <w:rPr>
          <w:rFonts w:ascii="Century Gothic" w:hAnsi="Century Gothic"/>
          <w:color w:val="auto"/>
          <w:sz w:val="22"/>
          <w:szCs w:val="22"/>
          <w:lang w:val="it-IT"/>
        </w:rPr>
        <w:t xml:space="preserve"> infatti un supermercato a insegna Unes. </w:t>
      </w:r>
    </w:p>
    <w:p w14:paraId="1D283C20" w14:textId="44F2389C" w:rsidR="00FD67F9" w:rsidRPr="007C09CB" w:rsidRDefault="00FD67F9" w:rsidP="00FD67F9">
      <w:pPr>
        <w:pStyle w:val="BodyCopy"/>
        <w:jc w:val="both"/>
        <w:rPr>
          <w:rFonts w:ascii="Century Gothic" w:hAnsi="Century Gothic"/>
          <w:color w:val="auto"/>
          <w:sz w:val="22"/>
          <w:szCs w:val="22"/>
          <w:lang w:val="it-IT"/>
        </w:rPr>
      </w:pPr>
    </w:p>
    <w:p w14:paraId="2D83DB83" w14:textId="3A62B074" w:rsidR="00C00FAF" w:rsidRPr="007C09CB" w:rsidRDefault="00C00FAF" w:rsidP="00C00FAF">
      <w:pPr>
        <w:pStyle w:val="BodyCopy"/>
        <w:jc w:val="both"/>
        <w:rPr>
          <w:rFonts w:ascii="Century Gothic" w:hAnsi="Century Gothic"/>
          <w:color w:val="auto"/>
          <w:sz w:val="22"/>
          <w:szCs w:val="22"/>
          <w:lang w:val="it-IT"/>
        </w:rPr>
      </w:pPr>
      <w:r w:rsidRPr="007C09CB">
        <w:rPr>
          <w:rFonts w:ascii="Century Gothic" w:hAnsi="Century Gothic" w:cs="Helvetica"/>
          <w:color w:val="auto"/>
          <w:sz w:val="22"/>
          <w:szCs w:val="22"/>
          <w:shd w:val="clear" w:color="auto" w:fill="FFFFFF"/>
        </w:rPr>
        <w:t xml:space="preserve">Come già accennato, </w:t>
      </w:r>
      <w:r w:rsidRPr="007C09CB">
        <w:rPr>
          <w:rFonts w:ascii="Century Gothic" w:hAnsi="Century Gothic" w:cs="Helvetica"/>
          <w:b/>
          <w:bCs/>
          <w:color w:val="auto"/>
          <w:sz w:val="22"/>
          <w:szCs w:val="22"/>
          <w:shd w:val="clear" w:color="auto" w:fill="FFFFFF"/>
        </w:rPr>
        <w:t>Blue sgr</w:t>
      </w:r>
      <w:r w:rsidRPr="007C09CB">
        <w:rPr>
          <w:rFonts w:ascii="Century Gothic" w:hAnsi="Century Gothic" w:cs="Helvetica"/>
          <w:color w:val="auto"/>
          <w:sz w:val="22"/>
          <w:szCs w:val="22"/>
          <w:shd w:val="clear" w:color="auto" w:fill="FFFFFF"/>
        </w:rPr>
        <w:t xml:space="preserve"> è frutto del</w:t>
      </w:r>
      <w:r w:rsidRPr="007C09CB">
        <w:rPr>
          <w:rFonts w:ascii="Century Gothic" w:hAnsi="Century Gothic" w:cs="Helvetica"/>
          <w:b/>
          <w:bCs/>
          <w:color w:val="auto"/>
          <w:sz w:val="22"/>
          <w:szCs w:val="22"/>
          <w:bdr w:val="none" w:sz="0" w:space="0" w:color="auto" w:frame="1"/>
          <w:shd w:val="clear" w:color="auto" w:fill="FFFFFF"/>
        </w:rPr>
        <w:t> management buyout</w:t>
      </w:r>
      <w:r w:rsidRPr="007C09CB">
        <w:rPr>
          <w:rFonts w:ascii="Century Gothic" w:hAnsi="Century Gothic" w:cs="Helvetica"/>
          <w:color w:val="auto"/>
          <w:sz w:val="22"/>
          <w:szCs w:val="22"/>
          <w:shd w:val="clear" w:color="auto" w:fill="FFFFFF"/>
        </w:rPr>
        <w:t> condotto da Rella e Puri Negri nell’estate 2020 (si veda </w:t>
      </w:r>
      <w:hyperlink r:id="rId8" w:tgtFrame="_blank" w:history="1">
        <w:r w:rsidRPr="007C09CB">
          <w:rPr>
            <w:rFonts w:ascii="Century Gothic" w:hAnsi="Century Gothic" w:cs="Helvetica"/>
            <w:color w:val="EEAB00"/>
            <w:sz w:val="22"/>
            <w:szCs w:val="22"/>
            <w:u w:val="single"/>
            <w:bdr w:val="none" w:sz="0" w:space="0" w:color="auto" w:frame="1"/>
            <w:shd w:val="clear" w:color="auto" w:fill="FFFFFF"/>
          </w:rPr>
          <w:t>altro articolo di </w:t>
        </w:r>
        <w:proofErr w:type="spellStart"/>
        <w:r w:rsidRPr="007C09CB">
          <w:rPr>
            <w:rFonts w:ascii="Century Gothic" w:hAnsi="Century Gothic" w:cs="Helvetica"/>
            <w:i/>
            <w:iCs/>
            <w:color w:val="EEAB00"/>
            <w:sz w:val="22"/>
            <w:szCs w:val="22"/>
            <w:bdr w:val="none" w:sz="0" w:space="0" w:color="auto" w:frame="1"/>
            <w:shd w:val="clear" w:color="auto" w:fill="FFFFFF"/>
          </w:rPr>
          <w:t>BeBeez</w:t>
        </w:r>
        <w:proofErr w:type="spellEnd"/>
      </w:hyperlink>
      <w:r w:rsidRPr="007C09CB">
        <w:rPr>
          <w:rFonts w:ascii="Century Gothic" w:hAnsi="Century Gothic" w:cs="Helvetica"/>
          <w:color w:val="333333"/>
          <w:sz w:val="22"/>
          <w:szCs w:val="22"/>
          <w:shd w:val="clear" w:color="auto" w:fill="FFFFFF"/>
        </w:rPr>
        <w:t xml:space="preserve">). </w:t>
      </w:r>
      <w:r w:rsidRPr="007C09CB">
        <w:rPr>
          <w:rFonts w:ascii="Century Gothic" w:hAnsi="Century Gothic" w:cs="Helvetica"/>
          <w:color w:val="auto"/>
          <w:sz w:val="22"/>
          <w:szCs w:val="22"/>
          <w:shd w:val="clear" w:color="auto" w:fill="FFFFFF"/>
          <w:lang w:val="it-IT"/>
        </w:rPr>
        <w:t>Nel gennaio 2018 Banca d’Italia aveva autorizzato la società a</w:t>
      </w:r>
      <w:r w:rsidR="00DB672C" w:rsidRPr="007C09CB">
        <w:rPr>
          <w:rFonts w:ascii="Century Gothic" w:hAnsi="Century Gothic" w:cs="Helvetica"/>
          <w:color w:val="auto"/>
          <w:sz w:val="22"/>
          <w:szCs w:val="22"/>
          <w:shd w:val="clear" w:color="auto" w:fill="FFFFFF"/>
          <w:lang w:val="it-IT"/>
        </w:rPr>
        <w:t>d</w:t>
      </w:r>
      <w:r w:rsidRPr="007C09CB">
        <w:rPr>
          <w:rFonts w:ascii="Century Gothic" w:hAnsi="Century Gothic" w:cs="Helvetica"/>
          <w:color w:val="auto"/>
          <w:sz w:val="22"/>
          <w:szCs w:val="22"/>
          <w:shd w:val="clear" w:color="auto" w:fill="FFFFFF"/>
          <w:lang w:val="it-IT"/>
        </w:rPr>
        <w:t xml:space="preserve"> estendere l’operatività alla gestione di fondi di investimento alternativi che investono in crediti, anche in misura non residuale. </w:t>
      </w:r>
      <w:r w:rsidRPr="007C09CB">
        <w:rPr>
          <w:rFonts w:ascii="Century Gothic" w:hAnsi="Century Gothic" w:cs="Helvetica"/>
          <w:color w:val="auto"/>
          <w:sz w:val="22"/>
          <w:szCs w:val="22"/>
          <w:shd w:val="clear" w:color="auto" w:fill="FFFFFF"/>
        </w:rPr>
        <w:t xml:space="preserve">A </w:t>
      </w:r>
      <w:proofErr w:type="spellStart"/>
      <w:r w:rsidRPr="007C09CB">
        <w:rPr>
          <w:rFonts w:ascii="Century Gothic" w:hAnsi="Century Gothic" w:cs="Helvetica"/>
          <w:color w:val="auto"/>
          <w:sz w:val="22"/>
          <w:szCs w:val="22"/>
          <w:shd w:val="clear" w:color="auto" w:fill="FFFFFF"/>
        </w:rPr>
        <w:t>oggi</w:t>
      </w:r>
      <w:proofErr w:type="spellEnd"/>
      <w:r w:rsidRPr="007C09CB">
        <w:rPr>
          <w:rFonts w:ascii="Century Gothic" w:hAnsi="Century Gothic" w:cs="Helvetica"/>
          <w:color w:val="auto"/>
          <w:sz w:val="22"/>
          <w:szCs w:val="22"/>
          <w:shd w:val="clear" w:color="auto" w:fill="FFFFFF"/>
        </w:rPr>
        <w:t xml:space="preserve"> la </w:t>
      </w:r>
      <w:proofErr w:type="spellStart"/>
      <w:r w:rsidRPr="007C09CB">
        <w:rPr>
          <w:rFonts w:ascii="Century Gothic" w:hAnsi="Century Gothic" w:cs="Helvetica"/>
          <w:color w:val="auto"/>
          <w:sz w:val="22"/>
          <w:szCs w:val="22"/>
          <w:shd w:val="clear" w:color="auto" w:fill="FFFFFF"/>
        </w:rPr>
        <w:t>sgr</w:t>
      </w:r>
      <w:proofErr w:type="spellEnd"/>
      <w:r w:rsidRPr="007C09CB">
        <w:rPr>
          <w:rFonts w:ascii="Century Gothic" w:hAnsi="Century Gothic" w:cs="Helvetica"/>
          <w:color w:val="auto"/>
          <w:sz w:val="22"/>
          <w:szCs w:val="22"/>
          <w:shd w:val="clear" w:color="auto" w:fill="FFFFFF"/>
        </w:rPr>
        <w:t>, con sede legale a Milano e operativa a Roma, ha in gestione</w:t>
      </w:r>
      <w:r w:rsidRPr="007C09CB">
        <w:rPr>
          <w:rFonts w:ascii="Century Gothic" w:hAnsi="Century Gothic" w:cs="Helvetica"/>
          <w:color w:val="333333"/>
          <w:sz w:val="22"/>
          <w:szCs w:val="22"/>
          <w:shd w:val="clear" w:color="auto" w:fill="FFFFFF"/>
        </w:rPr>
        <w:t> </w:t>
      </w:r>
      <w:hyperlink r:id="rId9" w:history="1">
        <w:r w:rsidRPr="007C09CB">
          <w:rPr>
            <w:rFonts w:ascii="Century Gothic" w:hAnsi="Century Gothic" w:cs="Helvetica"/>
            <w:b/>
            <w:bCs/>
            <w:color w:val="EEAB00"/>
            <w:sz w:val="22"/>
            <w:szCs w:val="22"/>
            <w:u w:val="single"/>
            <w:bdr w:val="none" w:sz="0" w:space="0" w:color="auto" w:frame="1"/>
            <w:shd w:val="clear" w:color="auto" w:fill="FFFFFF"/>
          </w:rPr>
          <w:t>19 fondi di investimento alternativi</w:t>
        </w:r>
      </w:hyperlink>
      <w:r w:rsidRPr="007C09CB">
        <w:rPr>
          <w:rFonts w:ascii="Century Gothic" w:hAnsi="Century Gothic" w:cs="Helvetica"/>
          <w:b/>
          <w:bCs/>
          <w:color w:val="333333"/>
          <w:sz w:val="22"/>
          <w:szCs w:val="22"/>
          <w:bdr w:val="none" w:sz="0" w:space="0" w:color="auto" w:frame="1"/>
          <w:shd w:val="clear" w:color="auto" w:fill="FFFFFF"/>
        </w:rPr>
        <w:t>, </w:t>
      </w:r>
      <w:r w:rsidRPr="007C09CB">
        <w:rPr>
          <w:rFonts w:ascii="Century Gothic" w:hAnsi="Century Gothic" w:cs="Helvetica"/>
          <w:color w:val="auto"/>
          <w:sz w:val="22"/>
          <w:szCs w:val="22"/>
          <w:shd w:val="clear" w:color="auto" w:fill="FFFFFF"/>
        </w:rPr>
        <w:t>per un valore complessivo di circa </w:t>
      </w:r>
      <w:r w:rsidRPr="007C09CB">
        <w:rPr>
          <w:rFonts w:ascii="Century Gothic" w:hAnsi="Century Gothic" w:cs="Helvetica"/>
          <w:b/>
          <w:bCs/>
          <w:color w:val="auto"/>
          <w:sz w:val="22"/>
          <w:szCs w:val="22"/>
          <w:bdr w:val="none" w:sz="0" w:space="0" w:color="auto" w:frame="1"/>
          <w:shd w:val="clear" w:color="auto" w:fill="FFFFFF"/>
        </w:rPr>
        <w:t>1,6 miliardi di euro</w:t>
      </w:r>
      <w:r w:rsidRPr="007C09CB">
        <w:rPr>
          <w:rFonts w:ascii="Century Gothic" w:hAnsi="Century Gothic" w:cs="Helvetica"/>
          <w:color w:val="auto"/>
          <w:sz w:val="22"/>
          <w:szCs w:val="22"/>
          <w:shd w:val="clear" w:color="auto" w:fill="FFFFFF"/>
        </w:rPr>
        <w:t>.</w:t>
      </w:r>
      <w:r w:rsidRPr="007C09CB">
        <w:rPr>
          <w:rFonts w:ascii="Century Gothic" w:hAnsi="Century Gothic" w:cs="Helvetica"/>
          <w:color w:val="auto"/>
          <w:sz w:val="22"/>
          <w:szCs w:val="22"/>
          <w:shd w:val="clear" w:color="auto" w:fill="FFFFFF"/>
        </w:rPr>
        <w:t xml:space="preserve"> </w:t>
      </w:r>
      <w:r w:rsidRPr="007C09CB">
        <w:rPr>
          <w:rFonts w:ascii="Century Gothic" w:hAnsi="Century Gothic" w:cs="Helvetica"/>
          <w:color w:val="auto"/>
          <w:sz w:val="22"/>
          <w:szCs w:val="22"/>
          <w:shd w:val="clear" w:color="auto" w:fill="FFFFFF"/>
          <w:lang w:val="it-IT"/>
        </w:rPr>
        <w:t xml:space="preserve">Un paio di settimane fa, </w:t>
      </w:r>
      <w:r w:rsidRPr="007C09CB">
        <w:rPr>
          <w:rFonts w:ascii="Century Gothic" w:eastAsiaTheme="minorHAnsi" w:hAnsi="Century Gothic" w:cs="Helvetica"/>
          <w:b/>
          <w:bCs/>
          <w:color w:val="auto"/>
          <w:sz w:val="22"/>
          <w:szCs w:val="22"/>
          <w:bdr w:val="none" w:sz="0" w:space="0" w:color="auto" w:frame="1"/>
          <w:shd w:val="clear" w:color="auto" w:fill="FFFFFF"/>
          <w:lang w:val="it-IT"/>
        </w:rPr>
        <w:t>Blue sgr</w:t>
      </w:r>
      <w:r w:rsidRPr="007C09CB">
        <w:rPr>
          <w:rFonts w:ascii="Century Gothic" w:eastAsiaTheme="minorHAnsi" w:hAnsi="Century Gothic" w:cs="Helvetica"/>
          <w:color w:val="auto"/>
          <w:sz w:val="22"/>
          <w:szCs w:val="22"/>
          <w:shd w:val="clear" w:color="auto" w:fill="FFFFFF"/>
          <w:lang w:val="it-IT"/>
        </w:rPr>
        <w:t xml:space="preserve"> ha comprato 110 mila metri quadri di terreno in </w:t>
      </w:r>
      <w:r w:rsidRPr="007C09CB">
        <w:rPr>
          <w:rFonts w:ascii="Century Gothic" w:eastAsiaTheme="minorHAnsi" w:hAnsi="Century Gothic" w:cs="Helvetica"/>
          <w:b/>
          <w:bCs/>
          <w:color w:val="auto"/>
          <w:sz w:val="22"/>
          <w:szCs w:val="22"/>
          <w:bdr w:val="none" w:sz="0" w:space="0" w:color="auto" w:frame="1"/>
          <w:shd w:val="clear" w:color="auto" w:fill="FFFFFF"/>
          <w:lang w:val="it-IT"/>
        </w:rPr>
        <w:t>via Rubattino a Milano</w:t>
      </w:r>
      <w:r w:rsidRPr="007C09CB">
        <w:rPr>
          <w:rFonts w:ascii="Century Gothic" w:eastAsiaTheme="minorHAnsi" w:hAnsi="Century Gothic" w:cs="Helvetica"/>
          <w:color w:val="auto"/>
          <w:sz w:val="22"/>
          <w:szCs w:val="22"/>
          <w:shd w:val="clear" w:color="auto" w:fill="FFFFFF"/>
          <w:lang w:val="it-IT"/>
        </w:rPr>
        <w:t>, dove verrà costruito un hub logistico innovativo destinato alle consegne dell’ultimo miglio a supporto dell’e-commerce e alla mobilità elettrica</w:t>
      </w:r>
      <w:r w:rsidRPr="007C09CB">
        <w:rPr>
          <w:rFonts w:ascii="Century Gothic" w:eastAsiaTheme="minorHAnsi" w:hAnsi="Century Gothic" w:cs="Helvetica"/>
          <w:color w:val="auto"/>
          <w:sz w:val="22"/>
          <w:szCs w:val="22"/>
          <w:shd w:val="clear" w:color="auto" w:fill="FFFFFF"/>
          <w:lang w:val="it-IT"/>
        </w:rPr>
        <w:t>.</w:t>
      </w:r>
      <w:r w:rsidRPr="007C09CB">
        <w:rPr>
          <w:rFonts w:ascii="Century Gothic" w:eastAsiaTheme="minorHAnsi" w:hAnsi="Century Gothic" w:cs="Helvetica"/>
          <w:color w:val="auto"/>
          <w:sz w:val="22"/>
          <w:szCs w:val="22"/>
          <w:shd w:val="clear" w:color="auto" w:fill="FFFFFF"/>
          <w:lang w:val="it-IT"/>
        </w:rPr>
        <w:t xml:space="preserve"> A vendere il terreno è stata la società </w:t>
      </w:r>
      <w:r w:rsidRPr="007C09CB">
        <w:rPr>
          <w:rFonts w:ascii="Century Gothic" w:eastAsiaTheme="minorHAnsi" w:hAnsi="Century Gothic" w:cs="Helvetica"/>
          <w:b/>
          <w:bCs/>
          <w:color w:val="auto"/>
          <w:sz w:val="22"/>
          <w:szCs w:val="22"/>
          <w:bdr w:val="none" w:sz="0" w:space="0" w:color="auto" w:frame="1"/>
          <w:shd w:val="clear" w:color="auto" w:fill="FFFFFF"/>
          <w:lang w:val="it-IT"/>
        </w:rPr>
        <w:t>Rubattino 87 srl</w:t>
      </w:r>
      <w:r w:rsidRPr="007C09CB">
        <w:rPr>
          <w:rFonts w:ascii="Century Gothic" w:eastAsiaTheme="minorHAnsi" w:hAnsi="Century Gothic" w:cs="Helvetica"/>
          <w:color w:val="auto"/>
          <w:sz w:val="22"/>
          <w:szCs w:val="22"/>
          <w:shd w:val="clear" w:color="auto" w:fill="FFFFFF"/>
          <w:lang w:val="it-IT"/>
        </w:rPr>
        <w:t>, società interamente posseduta dal </w:t>
      </w:r>
      <w:r w:rsidRPr="007C09CB">
        <w:rPr>
          <w:rFonts w:ascii="Century Gothic" w:eastAsiaTheme="minorHAnsi" w:hAnsi="Century Gothic" w:cs="Helvetica"/>
          <w:b/>
          <w:bCs/>
          <w:color w:val="auto"/>
          <w:sz w:val="22"/>
          <w:szCs w:val="22"/>
          <w:bdr w:val="none" w:sz="0" w:space="0" w:color="auto" w:frame="1"/>
          <w:shd w:val="clear" w:color="auto" w:fill="FFFFFF"/>
          <w:lang w:val="it-IT"/>
        </w:rPr>
        <w:t>fondo Leopardi</w:t>
      </w:r>
      <w:r w:rsidRPr="007C09CB">
        <w:rPr>
          <w:rFonts w:ascii="Century Gothic" w:eastAsiaTheme="minorHAnsi" w:hAnsi="Century Gothic" w:cs="Helvetica"/>
          <w:color w:val="auto"/>
          <w:sz w:val="22"/>
          <w:szCs w:val="22"/>
          <w:shd w:val="clear" w:color="auto" w:fill="FFFFFF"/>
          <w:lang w:val="it-IT"/>
        </w:rPr>
        <w:t>, gestito dalla stessa Blue sgr.</w:t>
      </w:r>
      <w:r w:rsidRPr="007C09CB">
        <w:rPr>
          <w:rFonts w:ascii="Century Gothic" w:eastAsiaTheme="minorHAnsi" w:hAnsi="Century Gothic" w:cs="Helvetica"/>
          <w:color w:val="auto"/>
          <w:sz w:val="22"/>
          <w:szCs w:val="22"/>
          <w:shd w:val="clear" w:color="auto" w:fill="FFFFFF"/>
          <w:lang w:val="it-IT"/>
        </w:rPr>
        <w:t xml:space="preserve"> L’operazione, in que</w:t>
      </w:r>
      <w:r w:rsidR="007C09CB" w:rsidRPr="007C09CB">
        <w:rPr>
          <w:rFonts w:ascii="Century Gothic" w:eastAsiaTheme="minorHAnsi" w:hAnsi="Century Gothic" w:cs="Helvetica"/>
          <w:color w:val="auto"/>
          <w:sz w:val="22"/>
          <w:szCs w:val="22"/>
          <w:shd w:val="clear" w:color="auto" w:fill="FFFFFF"/>
          <w:lang w:val="it-IT"/>
        </w:rPr>
        <w:t>l</w:t>
      </w:r>
      <w:r w:rsidRPr="007C09CB">
        <w:rPr>
          <w:rFonts w:ascii="Century Gothic" w:eastAsiaTheme="minorHAnsi" w:hAnsi="Century Gothic" w:cs="Helvetica"/>
          <w:color w:val="auto"/>
          <w:sz w:val="22"/>
          <w:szCs w:val="22"/>
          <w:shd w:val="clear" w:color="auto" w:fill="FFFFFF"/>
          <w:lang w:val="it-IT"/>
        </w:rPr>
        <w:t xml:space="preserve"> caso, </w:t>
      </w:r>
      <w:r w:rsidR="007C09CB" w:rsidRPr="007C09CB">
        <w:rPr>
          <w:rFonts w:ascii="Century Gothic" w:eastAsiaTheme="minorHAnsi" w:hAnsi="Century Gothic" w:cs="Helvetica"/>
          <w:color w:val="auto"/>
          <w:sz w:val="22"/>
          <w:szCs w:val="22"/>
          <w:shd w:val="clear" w:color="auto" w:fill="FFFFFF"/>
          <w:lang w:val="it-IT"/>
        </w:rPr>
        <w:t>ha fatto</w:t>
      </w:r>
      <w:r w:rsidRPr="007C09CB">
        <w:rPr>
          <w:rFonts w:ascii="Century Gothic" w:eastAsiaTheme="minorHAnsi" w:hAnsi="Century Gothic" w:cs="Helvetica"/>
          <w:color w:val="auto"/>
          <w:sz w:val="22"/>
          <w:szCs w:val="22"/>
          <w:shd w:val="clear" w:color="auto" w:fill="FFFFFF"/>
          <w:lang w:val="it-IT"/>
        </w:rPr>
        <w:t xml:space="preserve"> seguito alla sottoscrizione </w:t>
      </w:r>
      <w:r w:rsidRPr="007C09CB">
        <w:rPr>
          <w:rFonts w:ascii="Century Gothic" w:eastAsiaTheme="minorHAnsi" w:hAnsi="Century Gothic" w:cs="Helvetica"/>
          <w:color w:val="auto"/>
          <w:sz w:val="22"/>
          <w:szCs w:val="22"/>
          <w:shd w:val="clear" w:color="auto" w:fill="FFFFFF"/>
          <w:lang w:val="it-IT"/>
        </w:rPr>
        <w:t>per </w:t>
      </w:r>
      <w:r w:rsidRPr="007C09CB">
        <w:rPr>
          <w:rFonts w:ascii="Century Gothic" w:eastAsiaTheme="minorHAnsi" w:hAnsi="Century Gothic" w:cs="Helvetica"/>
          <w:b/>
          <w:bCs/>
          <w:color w:val="auto"/>
          <w:sz w:val="22"/>
          <w:szCs w:val="22"/>
          <w:bdr w:val="none" w:sz="0" w:space="0" w:color="auto" w:frame="1"/>
          <w:shd w:val="clear" w:color="auto" w:fill="FFFFFF"/>
          <w:lang w:val="it-IT"/>
        </w:rPr>
        <w:t>80 milioni di euro</w:t>
      </w:r>
      <w:r w:rsidRPr="007C09CB">
        <w:rPr>
          <w:rFonts w:ascii="Century Gothic" w:eastAsiaTheme="minorHAnsi" w:hAnsi="Century Gothic" w:cs="Helvetica"/>
          <w:color w:val="auto"/>
          <w:sz w:val="22"/>
          <w:szCs w:val="22"/>
          <w:shd w:val="clear" w:color="auto" w:fill="FFFFFF"/>
          <w:lang w:val="it-IT"/>
        </w:rPr>
        <w:t> </w:t>
      </w:r>
      <w:r w:rsidRPr="007C09CB">
        <w:rPr>
          <w:rFonts w:ascii="Century Gothic" w:eastAsiaTheme="minorHAnsi" w:hAnsi="Century Gothic" w:cs="Helvetica"/>
          <w:color w:val="auto"/>
          <w:sz w:val="22"/>
          <w:szCs w:val="22"/>
          <w:shd w:val="clear" w:color="auto" w:fill="FFFFFF"/>
          <w:lang w:val="it-IT"/>
        </w:rPr>
        <w:t>dell</w:t>
      </w:r>
      <w:r w:rsidRPr="007C09CB">
        <w:rPr>
          <w:rFonts w:ascii="Century Gothic" w:eastAsiaTheme="minorHAnsi" w:hAnsi="Century Gothic" w:cs="Helvetica"/>
          <w:color w:val="auto"/>
          <w:sz w:val="22"/>
          <w:szCs w:val="22"/>
          <w:shd w:val="clear" w:color="auto" w:fill="FFFFFF"/>
          <w:lang w:val="it-IT"/>
        </w:rPr>
        <w:t>e quote del nuovo fondo </w:t>
      </w:r>
      <w:r w:rsidRPr="007C09CB">
        <w:rPr>
          <w:rFonts w:ascii="Century Gothic" w:eastAsiaTheme="minorHAnsi" w:hAnsi="Century Gothic" w:cs="Helvetica"/>
          <w:b/>
          <w:bCs/>
          <w:color w:val="auto"/>
          <w:sz w:val="22"/>
          <w:szCs w:val="22"/>
          <w:bdr w:val="none" w:sz="0" w:space="0" w:color="auto" w:frame="1"/>
          <w:shd w:val="clear" w:color="auto" w:fill="FFFFFF"/>
          <w:lang w:val="it-IT"/>
        </w:rPr>
        <w:t xml:space="preserve">Urban </w:t>
      </w:r>
      <w:proofErr w:type="spellStart"/>
      <w:r w:rsidRPr="007C09CB">
        <w:rPr>
          <w:rFonts w:ascii="Century Gothic" w:eastAsiaTheme="minorHAnsi" w:hAnsi="Century Gothic" w:cs="Helvetica"/>
          <w:b/>
          <w:bCs/>
          <w:color w:val="auto"/>
          <w:sz w:val="22"/>
          <w:szCs w:val="22"/>
          <w:bdr w:val="none" w:sz="0" w:space="0" w:color="auto" w:frame="1"/>
          <w:shd w:val="clear" w:color="auto" w:fill="FFFFFF"/>
          <w:lang w:val="it-IT"/>
        </w:rPr>
        <w:t>Mile</w:t>
      </w:r>
      <w:proofErr w:type="spellEnd"/>
      <w:r w:rsidRPr="007C09CB">
        <w:rPr>
          <w:rFonts w:ascii="Century Gothic" w:eastAsiaTheme="minorHAnsi" w:hAnsi="Century Gothic" w:cs="Helvetica"/>
          <w:color w:val="auto"/>
          <w:sz w:val="22"/>
          <w:szCs w:val="22"/>
          <w:shd w:val="clear" w:color="auto" w:fill="FFFFFF"/>
          <w:lang w:val="it-IT"/>
        </w:rPr>
        <w:t xml:space="preserve">, </w:t>
      </w:r>
      <w:r w:rsidRPr="007C09CB">
        <w:rPr>
          <w:rFonts w:ascii="Century Gothic" w:eastAsiaTheme="minorHAnsi" w:hAnsi="Century Gothic" w:cs="Helvetica"/>
          <w:color w:val="auto"/>
          <w:sz w:val="22"/>
          <w:szCs w:val="22"/>
          <w:shd w:val="clear" w:color="auto" w:fill="FFFFFF"/>
          <w:lang w:val="it-IT"/>
        </w:rPr>
        <w:t>gestito</w:t>
      </w:r>
      <w:r w:rsidRPr="007C09CB">
        <w:rPr>
          <w:rFonts w:ascii="Century Gothic" w:eastAsiaTheme="minorHAnsi" w:hAnsi="Century Gothic" w:cs="Helvetica"/>
          <w:color w:val="auto"/>
          <w:sz w:val="22"/>
          <w:szCs w:val="22"/>
          <w:shd w:val="clear" w:color="auto" w:fill="FFFFFF"/>
          <w:lang w:val="it-IT"/>
        </w:rPr>
        <w:t xml:space="preserve"> sempre</w:t>
      </w:r>
      <w:r w:rsidRPr="007C09CB">
        <w:rPr>
          <w:rFonts w:ascii="Century Gothic" w:eastAsiaTheme="minorHAnsi" w:hAnsi="Century Gothic" w:cs="Helvetica"/>
          <w:color w:val="auto"/>
          <w:sz w:val="22"/>
          <w:szCs w:val="22"/>
          <w:shd w:val="clear" w:color="auto" w:fill="FFFFFF"/>
          <w:lang w:val="it-IT"/>
        </w:rPr>
        <w:t xml:space="preserve"> da</w:t>
      </w:r>
      <w:r w:rsidRPr="007C09CB">
        <w:rPr>
          <w:rFonts w:ascii="Century Gothic" w:eastAsiaTheme="minorHAnsi" w:hAnsi="Century Gothic" w:cs="Helvetica"/>
          <w:b/>
          <w:bCs/>
          <w:color w:val="auto"/>
          <w:sz w:val="22"/>
          <w:szCs w:val="22"/>
          <w:bdr w:val="none" w:sz="0" w:space="0" w:color="auto" w:frame="1"/>
          <w:shd w:val="clear" w:color="auto" w:fill="FFFFFF"/>
          <w:lang w:val="it-IT"/>
        </w:rPr>
        <w:t> Blue sgr</w:t>
      </w:r>
      <w:r w:rsidRPr="007C09CB">
        <w:rPr>
          <w:rFonts w:ascii="Century Gothic" w:eastAsiaTheme="minorHAnsi" w:hAnsi="Century Gothic" w:cs="Helvetica"/>
          <w:b/>
          <w:bCs/>
          <w:color w:val="auto"/>
          <w:sz w:val="22"/>
          <w:szCs w:val="22"/>
          <w:bdr w:val="none" w:sz="0" w:space="0" w:color="auto" w:frame="1"/>
          <w:shd w:val="clear" w:color="auto" w:fill="FFFFFF"/>
          <w:lang w:val="it-IT"/>
        </w:rPr>
        <w:t xml:space="preserve">, </w:t>
      </w:r>
      <w:r w:rsidRPr="007C09CB">
        <w:rPr>
          <w:rFonts w:ascii="Century Gothic" w:eastAsiaTheme="minorHAnsi" w:hAnsi="Century Gothic" w:cs="Helvetica"/>
          <w:color w:val="auto"/>
          <w:sz w:val="22"/>
          <w:szCs w:val="22"/>
          <w:bdr w:val="none" w:sz="0" w:space="0" w:color="auto" w:frame="1"/>
          <w:shd w:val="clear" w:color="auto" w:fill="FFFFFF"/>
          <w:lang w:val="it-IT"/>
        </w:rPr>
        <w:t>da parte del</w:t>
      </w:r>
      <w:r w:rsidRPr="007C09CB">
        <w:rPr>
          <w:rFonts w:ascii="Century Gothic" w:hAnsi="Century Gothic" w:cs="Helvetica"/>
          <w:color w:val="auto"/>
          <w:sz w:val="22"/>
          <w:szCs w:val="22"/>
          <w:shd w:val="clear" w:color="auto" w:fill="FFFFFF"/>
          <w:lang w:val="it-IT"/>
        </w:rPr>
        <w:t>l’</w:t>
      </w:r>
      <w:r w:rsidRPr="007C09CB">
        <w:rPr>
          <w:rFonts w:ascii="Century Gothic" w:eastAsiaTheme="minorHAnsi" w:hAnsi="Century Gothic" w:cs="Helvetica"/>
          <w:color w:val="auto"/>
          <w:sz w:val="22"/>
          <w:szCs w:val="22"/>
          <w:shd w:val="clear" w:color="auto" w:fill="FFFFFF"/>
          <w:lang w:val="it-IT"/>
        </w:rPr>
        <w:t>asset manager Usa </w:t>
      </w:r>
      <w:proofErr w:type="spellStart"/>
      <w:r w:rsidRPr="007C09CB">
        <w:rPr>
          <w:rFonts w:ascii="Century Gothic" w:eastAsiaTheme="minorHAnsi" w:hAnsi="Century Gothic" w:cs="Helvetica"/>
          <w:b/>
          <w:bCs/>
          <w:color w:val="auto"/>
          <w:sz w:val="22"/>
          <w:szCs w:val="22"/>
          <w:bdr w:val="none" w:sz="0" w:space="0" w:color="auto" w:frame="1"/>
          <w:shd w:val="clear" w:color="auto" w:fill="FFFFFF"/>
          <w:lang w:val="it-IT"/>
        </w:rPr>
        <w:t>HInes</w:t>
      </w:r>
      <w:proofErr w:type="spellEnd"/>
      <w:r w:rsidRPr="007C09CB">
        <w:rPr>
          <w:rFonts w:ascii="Century Gothic" w:eastAsiaTheme="minorHAnsi" w:hAnsi="Century Gothic" w:cs="Helvetica"/>
          <w:b/>
          <w:bCs/>
          <w:color w:val="auto"/>
          <w:sz w:val="22"/>
          <w:szCs w:val="22"/>
          <w:bdr w:val="none" w:sz="0" w:space="0" w:color="auto" w:frame="1"/>
          <w:shd w:val="clear" w:color="auto" w:fill="FFFFFF"/>
          <w:lang w:val="it-IT"/>
        </w:rPr>
        <w:t> </w:t>
      </w:r>
      <w:r w:rsidRPr="007C09CB">
        <w:rPr>
          <w:rFonts w:ascii="Century Gothic" w:hAnsi="Century Gothic" w:cs="Helvetica"/>
          <w:color w:val="auto"/>
          <w:sz w:val="22"/>
          <w:szCs w:val="22"/>
          <w:shd w:val="clear" w:color="auto" w:fill="FFFFFF"/>
          <w:lang w:val="it-IT"/>
        </w:rPr>
        <w:t>e</w:t>
      </w:r>
      <w:r w:rsidRPr="007C09CB">
        <w:rPr>
          <w:rFonts w:ascii="Century Gothic" w:eastAsiaTheme="minorHAnsi" w:hAnsi="Century Gothic" w:cs="Helvetica"/>
          <w:color w:val="auto"/>
          <w:sz w:val="22"/>
          <w:szCs w:val="22"/>
          <w:shd w:val="clear" w:color="auto" w:fill="FFFFFF"/>
          <w:lang w:val="it-IT"/>
        </w:rPr>
        <w:t> </w:t>
      </w:r>
      <w:r w:rsidRPr="007C09CB">
        <w:rPr>
          <w:rFonts w:ascii="Century Gothic" w:eastAsiaTheme="minorHAnsi" w:hAnsi="Century Gothic" w:cs="Helvetica"/>
          <w:b/>
          <w:bCs/>
          <w:color w:val="auto"/>
          <w:sz w:val="22"/>
          <w:szCs w:val="22"/>
          <w:bdr w:val="none" w:sz="0" w:space="0" w:color="auto" w:frame="1"/>
          <w:shd w:val="clear" w:color="auto" w:fill="FFFFFF"/>
          <w:lang w:val="it-IT"/>
        </w:rPr>
        <w:t>Allianz Real Estate</w:t>
      </w:r>
      <w:r w:rsidRPr="007C09CB">
        <w:rPr>
          <w:rFonts w:ascii="Century Gothic" w:eastAsiaTheme="minorHAnsi" w:hAnsi="Century Gothic" w:cs="Helvetica"/>
          <w:color w:val="auto"/>
          <w:sz w:val="22"/>
          <w:szCs w:val="22"/>
          <w:shd w:val="clear" w:color="auto" w:fill="FFFFFF"/>
          <w:lang w:val="it-IT"/>
        </w:rPr>
        <w:t>, il braccio di investimento immobiliare del gruppo assicurativo europeo</w:t>
      </w:r>
      <w:r w:rsidRPr="007C09CB">
        <w:rPr>
          <w:rFonts w:ascii="Century Gothic" w:eastAsiaTheme="minorHAnsi" w:hAnsi="Century Gothic" w:cs="Helvetica"/>
          <w:color w:val="auto"/>
          <w:sz w:val="22"/>
          <w:szCs w:val="22"/>
          <w:shd w:val="clear" w:color="auto" w:fill="FFFFFF"/>
          <w:lang w:val="it-IT"/>
        </w:rPr>
        <w:t xml:space="preserve"> </w:t>
      </w:r>
      <w:r w:rsidRPr="007C09CB">
        <w:rPr>
          <w:rFonts w:ascii="Century Gothic" w:hAnsi="Century Gothic" w:cs="Helvetica"/>
          <w:color w:val="auto"/>
          <w:sz w:val="22"/>
          <w:szCs w:val="22"/>
          <w:shd w:val="clear" w:color="auto" w:fill="FFFFFF"/>
          <w:lang w:val="it-IT"/>
        </w:rPr>
        <w:t>(si veda</w:t>
      </w:r>
      <w:r w:rsidRPr="007C09CB">
        <w:rPr>
          <w:rFonts w:ascii="Century Gothic" w:hAnsi="Century Gothic" w:cs="Helvetica"/>
          <w:color w:val="333333"/>
          <w:sz w:val="22"/>
          <w:szCs w:val="22"/>
          <w:shd w:val="clear" w:color="auto" w:fill="FFFFFF"/>
          <w:lang w:val="it-IT"/>
        </w:rPr>
        <w:t> </w:t>
      </w:r>
      <w:hyperlink r:id="rId10" w:tgtFrame="_blank" w:history="1">
        <w:r w:rsidRPr="007C09CB">
          <w:rPr>
            <w:rFonts w:ascii="Century Gothic" w:hAnsi="Century Gothic" w:cs="Helvetica"/>
            <w:color w:val="FFC000" w:themeColor="accent4"/>
            <w:sz w:val="22"/>
            <w:szCs w:val="22"/>
            <w:u w:val="single"/>
            <w:bdr w:val="none" w:sz="0" w:space="0" w:color="auto" w:frame="1"/>
            <w:shd w:val="clear" w:color="auto" w:fill="FFFFFF"/>
            <w:lang w:val="it-IT"/>
          </w:rPr>
          <w:t>altro articolo di </w:t>
        </w:r>
        <w:proofErr w:type="spellStart"/>
        <w:r w:rsidRPr="007C09CB">
          <w:rPr>
            <w:rFonts w:ascii="Century Gothic" w:hAnsi="Century Gothic" w:cs="Helvetica"/>
            <w:i/>
            <w:iCs/>
            <w:color w:val="FFC000" w:themeColor="accent4"/>
            <w:sz w:val="22"/>
            <w:szCs w:val="22"/>
            <w:bdr w:val="none" w:sz="0" w:space="0" w:color="auto" w:frame="1"/>
            <w:shd w:val="clear" w:color="auto" w:fill="FFFFFF"/>
            <w:lang w:val="it-IT"/>
          </w:rPr>
          <w:t>BeBeez</w:t>
        </w:r>
        <w:proofErr w:type="spellEnd"/>
      </w:hyperlink>
      <w:r w:rsidRPr="007C09CB">
        <w:rPr>
          <w:rFonts w:ascii="Century Gothic" w:hAnsi="Century Gothic" w:cs="Helvetica"/>
          <w:color w:val="333333"/>
          <w:sz w:val="22"/>
          <w:szCs w:val="22"/>
          <w:shd w:val="clear" w:color="auto" w:fill="FFFFFF"/>
          <w:lang w:val="it-IT"/>
        </w:rPr>
        <w:t>).</w:t>
      </w:r>
    </w:p>
    <w:p w14:paraId="199D858D" w14:textId="4B1921A7" w:rsidR="00DC781E" w:rsidRPr="007C09CB" w:rsidRDefault="00DC781E" w:rsidP="00FD67F9">
      <w:pPr>
        <w:pStyle w:val="BodyCopy"/>
        <w:jc w:val="both"/>
        <w:rPr>
          <w:rFonts w:ascii="Century Gothic" w:hAnsi="Century Gothic"/>
          <w:color w:val="auto"/>
          <w:sz w:val="22"/>
          <w:szCs w:val="22"/>
          <w:lang w:val="it-IT"/>
        </w:rPr>
      </w:pPr>
    </w:p>
    <w:p w14:paraId="410A8420" w14:textId="77777777" w:rsidR="00C00FAF" w:rsidRPr="007C09CB" w:rsidRDefault="00C00FAF" w:rsidP="00C00FAF">
      <w:pPr>
        <w:pStyle w:val="BodyCopy"/>
        <w:jc w:val="both"/>
        <w:rPr>
          <w:rFonts w:ascii="Century Gothic" w:hAnsi="Century Gothic"/>
          <w:b/>
          <w:bCs/>
          <w:color w:val="auto"/>
          <w:sz w:val="22"/>
          <w:szCs w:val="22"/>
          <w:lang w:val="it-IT"/>
        </w:rPr>
      </w:pPr>
      <w:r w:rsidRPr="007C09CB">
        <w:rPr>
          <w:rFonts w:ascii="Century Gothic" w:hAnsi="Century Gothic"/>
          <w:b/>
          <w:bCs/>
          <w:color w:val="auto"/>
          <w:sz w:val="22"/>
          <w:szCs w:val="22"/>
          <w:lang w:val="it-IT"/>
        </w:rPr>
        <w:t xml:space="preserve">Giandomenico Lenti, Head of Business Development di Blue SGR, ha commentato: </w:t>
      </w:r>
      <w:r w:rsidRPr="007C09CB">
        <w:rPr>
          <w:rFonts w:ascii="Century Gothic" w:hAnsi="Century Gothic"/>
          <w:color w:val="auto"/>
          <w:sz w:val="22"/>
          <w:szCs w:val="22"/>
          <w:lang w:val="it-IT"/>
        </w:rPr>
        <w:t xml:space="preserve">“Questa ulteriore acquisizione conferma ancora una volta come il </w:t>
      </w:r>
      <w:proofErr w:type="spellStart"/>
      <w:r w:rsidRPr="007C09CB">
        <w:rPr>
          <w:rFonts w:ascii="Century Gothic" w:hAnsi="Century Gothic"/>
          <w:color w:val="auto"/>
          <w:sz w:val="22"/>
          <w:szCs w:val="22"/>
          <w:lang w:val="it-IT"/>
        </w:rPr>
        <w:t>Grocery</w:t>
      </w:r>
      <w:proofErr w:type="spellEnd"/>
      <w:r w:rsidRPr="007C09CB">
        <w:rPr>
          <w:rFonts w:ascii="Century Gothic" w:hAnsi="Century Gothic"/>
          <w:color w:val="auto"/>
          <w:sz w:val="22"/>
          <w:szCs w:val="22"/>
          <w:lang w:val="it-IT"/>
        </w:rPr>
        <w:t xml:space="preserve"> offra interessanti opportunità di rendimento”, aggiunge Giandomenico Lenti, Head of Business Development di Blue SGR. “Il settore, che ha mostrato enorme resilienza anche nei momenti di maggiore impatto della pandemia, mostra ottime performance anche in location più di nicchia ed è una grande occasione per gli investitori attenti che sanno guardare al mercato con la giusta prospettiva.”</w:t>
      </w:r>
    </w:p>
    <w:p w14:paraId="1E2CDCAF" w14:textId="3A1AF752" w:rsidR="00DC781E" w:rsidRPr="007C09CB" w:rsidRDefault="00DC781E" w:rsidP="00FD67F9">
      <w:pPr>
        <w:pStyle w:val="BodyCopy"/>
        <w:jc w:val="both"/>
        <w:rPr>
          <w:rFonts w:ascii="Century Gothic" w:hAnsi="Century Gothic"/>
          <w:color w:val="auto"/>
          <w:sz w:val="22"/>
          <w:szCs w:val="22"/>
          <w:lang w:val="it-IT"/>
        </w:rPr>
      </w:pPr>
    </w:p>
    <w:p w14:paraId="484F64FD" w14:textId="5196CF01" w:rsidR="00FD67F9" w:rsidRPr="007C09CB" w:rsidRDefault="00DB672C" w:rsidP="007C09CB">
      <w:pPr>
        <w:pStyle w:val="BodyCopy"/>
        <w:jc w:val="both"/>
        <w:rPr>
          <w:rFonts w:ascii="Century Gothic" w:hAnsi="Century Gothic"/>
          <w:color w:val="auto"/>
          <w:sz w:val="22"/>
          <w:szCs w:val="22"/>
          <w:lang w:val="it-IT"/>
        </w:rPr>
      </w:pPr>
      <w:r w:rsidRPr="007C09CB">
        <w:rPr>
          <w:rFonts w:ascii="Century Gothic" w:hAnsi="Century Gothic"/>
          <w:color w:val="auto"/>
          <w:sz w:val="22"/>
          <w:szCs w:val="22"/>
          <w:lang w:val="it-IT"/>
        </w:rPr>
        <w:t xml:space="preserve">Quanto a </w:t>
      </w:r>
      <w:proofErr w:type="spellStart"/>
      <w:r w:rsidR="00B5140B" w:rsidRPr="007C09CB">
        <w:rPr>
          <w:rFonts w:ascii="Century Gothic" w:hAnsi="Century Gothic"/>
          <w:b/>
          <w:bCs/>
          <w:color w:val="auto"/>
          <w:sz w:val="22"/>
          <w:szCs w:val="22"/>
          <w:lang w:val="it-IT"/>
        </w:rPr>
        <w:t>Savills</w:t>
      </w:r>
      <w:proofErr w:type="spellEnd"/>
      <w:r w:rsidR="00B5140B" w:rsidRPr="007C09CB">
        <w:rPr>
          <w:rFonts w:ascii="Century Gothic" w:hAnsi="Century Gothic"/>
          <w:b/>
          <w:bCs/>
          <w:color w:val="auto"/>
          <w:sz w:val="22"/>
          <w:szCs w:val="22"/>
          <w:lang w:val="it-IT"/>
        </w:rPr>
        <w:t xml:space="preserve"> Investment Management SGR Spa</w:t>
      </w:r>
      <w:r w:rsidR="00B5140B" w:rsidRPr="007C09CB">
        <w:rPr>
          <w:rFonts w:ascii="Century Gothic" w:hAnsi="Century Gothic"/>
          <w:b/>
          <w:bCs/>
          <w:color w:val="auto"/>
          <w:sz w:val="22"/>
          <w:szCs w:val="22"/>
          <w:lang w:val="it-IT"/>
        </w:rPr>
        <w:t xml:space="preserve">, </w:t>
      </w:r>
      <w:r w:rsidR="00B5140B" w:rsidRPr="007C09CB">
        <w:rPr>
          <w:rFonts w:ascii="Century Gothic" w:hAnsi="Century Gothic"/>
          <w:color w:val="auto"/>
          <w:sz w:val="22"/>
          <w:szCs w:val="22"/>
          <w:lang w:val="it-IT"/>
        </w:rPr>
        <w:t xml:space="preserve">interamente di proprietà di </w:t>
      </w:r>
      <w:proofErr w:type="spellStart"/>
      <w:r w:rsidR="00B5140B" w:rsidRPr="007C09CB">
        <w:rPr>
          <w:rFonts w:ascii="Century Gothic" w:hAnsi="Century Gothic"/>
          <w:color w:val="auto"/>
          <w:sz w:val="22"/>
          <w:szCs w:val="22"/>
          <w:lang w:val="it-IT"/>
        </w:rPr>
        <w:t>Savills</w:t>
      </w:r>
      <w:proofErr w:type="spellEnd"/>
      <w:r w:rsidR="00382A85" w:rsidRPr="007C09CB">
        <w:rPr>
          <w:rFonts w:ascii="Century Gothic" w:hAnsi="Century Gothic"/>
          <w:color w:val="auto"/>
          <w:sz w:val="22"/>
          <w:szCs w:val="22"/>
          <w:lang w:val="it-IT"/>
        </w:rPr>
        <w:t xml:space="preserve">, è </w:t>
      </w:r>
      <w:r w:rsidR="00382A85" w:rsidRPr="007C09CB">
        <w:rPr>
          <w:rFonts w:ascii="Century Gothic" w:hAnsi="Century Gothic"/>
          <w:color w:val="auto"/>
          <w:sz w:val="22"/>
          <w:szCs w:val="22"/>
          <w:lang w:val="it-IT"/>
        </w:rPr>
        <w:t xml:space="preserve">una </w:t>
      </w:r>
      <w:r w:rsidR="00382A85" w:rsidRPr="007C09CB">
        <w:rPr>
          <w:rFonts w:ascii="Century Gothic" w:hAnsi="Century Gothic"/>
          <w:color w:val="auto"/>
          <w:sz w:val="22"/>
          <w:szCs w:val="22"/>
          <w:lang w:val="it-IT"/>
        </w:rPr>
        <w:t>s</w:t>
      </w:r>
      <w:r w:rsidR="00382A85" w:rsidRPr="007C09CB">
        <w:rPr>
          <w:rFonts w:ascii="Century Gothic" w:hAnsi="Century Gothic"/>
          <w:color w:val="auto"/>
          <w:sz w:val="22"/>
          <w:szCs w:val="22"/>
          <w:lang w:val="it-IT"/>
        </w:rPr>
        <w:t xml:space="preserve">ocietà di </w:t>
      </w:r>
      <w:r w:rsidR="00382A85" w:rsidRPr="007C09CB">
        <w:rPr>
          <w:rFonts w:ascii="Century Gothic" w:hAnsi="Century Gothic"/>
          <w:color w:val="auto"/>
          <w:sz w:val="22"/>
          <w:szCs w:val="22"/>
          <w:lang w:val="it-IT"/>
        </w:rPr>
        <w:t>g</w:t>
      </w:r>
      <w:r w:rsidR="00382A85" w:rsidRPr="007C09CB">
        <w:rPr>
          <w:rFonts w:ascii="Century Gothic" w:hAnsi="Century Gothic"/>
          <w:color w:val="auto"/>
          <w:sz w:val="22"/>
          <w:szCs w:val="22"/>
          <w:lang w:val="it-IT"/>
        </w:rPr>
        <w:t xml:space="preserve">estione del </w:t>
      </w:r>
      <w:r w:rsidR="00382A85" w:rsidRPr="007C09CB">
        <w:rPr>
          <w:rFonts w:ascii="Century Gothic" w:hAnsi="Century Gothic"/>
          <w:color w:val="auto"/>
          <w:sz w:val="22"/>
          <w:szCs w:val="22"/>
          <w:lang w:val="it-IT"/>
        </w:rPr>
        <w:t>r</w:t>
      </w:r>
      <w:r w:rsidR="00382A85" w:rsidRPr="007C09CB">
        <w:rPr>
          <w:rFonts w:ascii="Century Gothic" w:hAnsi="Century Gothic"/>
          <w:color w:val="auto"/>
          <w:sz w:val="22"/>
          <w:szCs w:val="22"/>
          <w:lang w:val="it-IT"/>
        </w:rPr>
        <w:t>isparmio</w:t>
      </w:r>
      <w:r w:rsidR="00382A85" w:rsidRPr="007C09CB">
        <w:rPr>
          <w:rFonts w:ascii="Century Gothic" w:hAnsi="Century Gothic"/>
          <w:color w:val="auto"/>
          <w:sz w:val="22"/>
          <w:szCs w:val="22"/>
          <w:lang w:val="it-IT"/>
        </w:rPr>
        <w:t xml:space="preserve"> </w:t>
      </w:r>
      <w:r w:rsidR="00382A85" w:rsidRPr="007C09CB">
        <w:rPr>
          <w:rFonts w:ascii="Century Gothic" w:hAnsi="Century Gothic"/>
          <w:color w:val="auto"/>
          <w:sz w:val="22"/>
          <w:szCs w:val="22"/>
          <w:lang w:val="it-IT"/>
        </w:rPr>
        <w:t xml:space="preserve">fondata in Italia nel 2005 e autorizzata dalla Banca d’Italia ad istituire e gestire fondi comuni di investimento regolamentati dalla legge italiana. </w:t>
      </w:r>
      <w:proofErr w:type="gramStart"/>
      <w:r w:rsidR="00382A85" w:rsidRPr="007C09CB">
        <w:rPr>
          <w:rFonts w:ascii="Century Gothic" w:hAnsi="Century Gothic"/>
          <w:color w:val="auto"/>
          <w:sz w:val="22"/>
          <w:szCs w:val="22"/>
          <w:lang w:val="it-IT"/>
        </w:rPr>
        <w:t>Il team</w:t>
      </w:r>
      <w:proofErr w:type="gramEnd"/>
      <w:r w:rsidR="00382A85" w:rsidRPr="007C09CB">
        <w:rPr>
          <w:rFonts w:ascii="Century Gothic" w:hAnsi="Century Gothic"/>
          <w:color w:val="auto"/>
          <w:sz w:val="22"/>
          <w:szCs w:val="22"/>
          <w:lang w:val="it-IT"/>
        </w:rPr>
        <w:t xml:space="preserve"> vanta una notevole esperienza nella gestione di fondi con diversi profili di rischio e strategie di investimento sia nel mercato italiano che in altri paesi europei</w:t>
      </w:r>
      <w:r w:rsidR="00083D3A" w:rsidRPr="007C09CB">
        <w:rPr>
          <w:rFonts w:ascii="Century Gothic" w:hAnsi="Century Gothic"/>
          <w:color w:val="auto"/>
          <w:sz w:val="22"/>
          <w:szCs w:val="22"/>
          <w:lang w:val="it-IT"/>
        </w:rPr>
        <w:t>, c</w:t>
      </w:r>
      <w:r w:rsidR="00B5140B" w:rsidRPr="007C09CB">
        <w:rPr>
          <w:rFonts w:ascii="Century Gothic" w:hAnsi="Century Gothic"/>
          <w:color w:val="auto"/>
          <w:sz w:val="22"/>
          <w:szCs w:val="22"/>
          <w:lang w:val="it-IT"/>
        </w:rPr>
        <w:t xml:space="preserve">on 17 uffici in 14 paesi e 26,1 miliardi di euro di </w:t>
      </w:r>
      <w:r w:rsidR="00083D3A" w:rsidRPr="007C09CB">
        <w:rPr>
          <w:rFonts w:ascii="Century Gothic" w:hAnsi="Century Gothic"/>
          <w:color w:val="auto"/>
          <w:sz w:val="22"/>
          <w:szCs w:val="22"/>
          <w:lang w:val="it-IT"/>
        </w:rPr>
        <w:t>a</w:t>
      </w:r>
      <w:r w:rsidR="00382A85" w:rsidRPr="007C09CB">
        <w:rPr>
          <w:rFonts w:ascii="Century Gothic" w:hAnsi="Century Gothic"/>
          <w:color w:val="auto"/>
          <w:sz w:val="22"/>
          <w:szCs w:val="22"/>
          <w:lang w:val="it-IT"/>
        </w:rPr>
        <w:t>sset under management</w:t>
      </w:r>
      <w:r w:rsidR="00083D3A" w:rsidRPr="007C09CB">
        <w:rPr>
          <w:rFonts w:ascii="Century Gothic" w:hAnsi="Century Gothic"/>
          <w:color w:val="auto"/>
          <w:sz w:val="22"/>
          <w:szCs w:val="22"/>
          <w:lang w:val="it-IT"/>
        </w:rPr>
        <w:t xml:space="preserve">. La divisione italiana è </w:t>
      </w:r>
      <w:r w:rsidR="00B5140B" w:rsidRPr="007C09CB">
        <w:rPr>
          <w:rFonts w:ascii="Century Gothic" w:hAnsi="Century Gothic"/>
          <w:color w:val="auto"/>
          <w:sz w:val="22"/>
          <w:szCs w:val="22"/>
          <w:lang w:val="it-IT"/>
        </w:rPr>
        <w:t>guidat</w:t>
      </w:r>
      <w:r w:rsidR="00083D3A" w:rsidRPr="007C09CB">
        <w:rPr>
          <w:rFonts w:ascii="Century Gothic" w:hAnsi="Century Gothic"/>
          <w:color w:val="auto"/>
          <w:sz w:val="22"/>
          <w:szCs w:val="22"/>
          <w:lang w:val="it-IT"/>
        </w:rPr>
        <w:t>a</w:t>
      </w:r>
      <w:r w:rsidR="00B5140B" w:rsidRPr="007C09CB">
        <w:rPr>
          <w:rFonts w:ascii="Century Gothic" w:hAnsi="Century Gothic"/>
          <w:color w:val="auto"/>
          <w:sz w:val="22"/>
          <w:szCs w:val="22"/>
          <w:lang w:val="it-IT"/>
        </w:rPr>
        <w:t xml:space="preserve"> da </w:t>
      </w:r>
      <w:r w:rsidR="00B5140B" w:rsidRPr="007C09CB">
        <w:rPr>
          <w:rFonts w:ascii="Century Gothic" w:hAnsi="Century Gothic"/>
          <w:b/>
          <w:bCs/>
          <w:color w:val="auto"/>
          <w:sz w:val="22"/>
          <w:szCs w:val="22"/>
          <w:lang w:val="it-IT"/>
        </w:rPr>
        <w:t>Cristiano Ronchi</w:t>
      </w:r>
      <w:r w:rsidR="00B5140B" w:rsidRPr="007C09CB">
        <w:rPr>
          <w:rFonts w:ascii="Century Gothic" w:hAnsi="Century Gothic"/>
          <w:color w:val="auto"/>
          <w:sz w:val="22"/>
          <w:szCs w:val="22"/>
          <w:lang w:val="it-IT"/>
        </w:rPr>
        <w:t xml:space="preserve"> </w:t>
      </w:r>
      <w:r w:rsidR="00083D3A" w:rsidRPr="007C09CB">
        <w:rPr>
          <w:rFonts w:ascii="Century Gothic" w:hAnsi="Century Gothic"/>
          <w:color w:val="auto"/>
          <w:sz w:val="22"/>
          <w:szCs w:val="22"/>
          <w:lang w:val="it-IT"/>
        </w:rPr>
        <w:t>e ha</w:t>
      </w:r>
      <w:r w:rsidR="00B5140B" w:rsidRPr="007C09CB">
        <w:rPr>
          <w:rFonts w:ascii="Century Gothic" w:hAnsi="Century Gothic"/>
          <w:color w:val="auto"/>
          <w:sz w:val="22"/>
          <w:szCs w:val="22"/>
          <w:lang w:val="it-IT"/>
        </w:rPr>
        <w:t xml:space="preserve"> sede a Milano</w:t>
      </w:r>
      <w:r w:rsidR="00083D3A" w:rsidRPr="007C09CB">
        <w:rPr>
          <w:rFonts w:ascii="Century Gothic" w:hAnsi="Century Gothic"/>
          <w:color w:val="auto"/>
          <w:sz w:val="22"/>
          <w:szCs w:val="22"/>
          <w:lang w:val="it-IT"/>
        </w:rPr>
        <w:t>,</w:t>
      </w:r>
      <w:r w:rsidR="00B5140B" w:rsidRPr="007C09CB">
        <w:rPr>
          <w:rFonts w:ascii="Century Gothic" w:hAnsi="Century Gothic"/>
          <w:color w:val="auto"/>
          <w:sz w:val="22"/>
          <w:szCs w:val="22"/>
          <w:lang w:val="it-IT"/>
        </w:rPr>
        <w:t xml:space="preserve"> </w:t>
      </w:r>
      <w:r w:rsidR="00083D3A" w:rsidRPr="007C09CB">
        <w:rPr>
          <w:rFonts w:ascii="Century Gothic" w:hAnsi="Century Gothic"/>
          <w:color w:val="auto"/>
          <w:sz w:val="22"/>
          <w:szCs w:val="22"/>
          <w:lang w:val="it-IT"/>
        </w:rPr>
        <w:t xml:space="preserve">potendo contare su </w:t>
      </w:r>
      <w:r w:rsidR="00B5140B" w:rsidRPr="007C09CB">
        <w:rPr>
          <w:rFonts w:ascii="Century Gothic" w:hAnsi="Century Gothic"/>
          <w:color w:val="auto"/>
          <w:sz w:val="22"/>
          <w:szCs w:val="22"/>
          <w:lang w:val="it-IT"/>
        </w:rPr>
        <w:t xml:space="preserve">38 professionisti. </w:t>
      </w:r>
      <w:r w:rsidR="007C09CB" w:rsidRPr="007C09CB">
        <w:rPr>
          <w:rFonts w:ascii="Century Gothic" w:hAnsi="Century Gothic"/>
          <w:color w:val="auto"/>
          <w:sz w:val="22"/>
          <w:szCs w:val="22"/>
          <w:lang w:val="it-IT"/>
        </w:rPr>
        <w:t xml:space="preserve">Nel 2020, </w:t>
      </w:r>
      <w:proofErr w:type="spellStart"/>
      <w:r w:rsidR="007C09CB" w:rsidRPr="007C09CB">
        <w:rPr>
          <w:rFonts w:ascii="Century Gothic" w:hAnsi="Century Gothic"/>
          <w:b/>
          <w:bCs/>
          <w:color w:val="auto"/>
          <w:sz w:val="22"/>
          <w:szCs w:val="22"/>
          <w:lang w:val="it-IT"/>
        </w:rPr>
        <w:t>Savills</w:t>
      </w:r>
      <w:proofErr w:type="spellEnd"/>
      <w:r w:rsidR="007C09CB" w:rsidRPr="007C09CB">
        <w:rPr>
          <w:rFonts w:ascii="Century Gothic" w:hAnsi="Century Gothic"/>
          <w:b/>
          <w:bCs/>
          <w:color w:val="auto"/>
          <w:sz w:val="22"/>
          <w:szCs w:val="22"/>
          <w:lang w:val="it-IT"/>
        </w:rPr>
        <w:t xml:space="preserve"> Investment Management</w:t>
      </w:r>
      <w:r w:rsidR="007C09CB" w:rsidRPr="007C09CB">
        <w:rPr>
          <w:rFonts w:ascii="Century Gothic" w:hAnsi="Century Gothic"/>
          <w:b/>
          <w:bCs/>
          <w:color w:val="auto"/>
          <w:sz w:val="22"/>
          <w:szCs w:val="22"/>
          <w:lang w:val="it-IT"/>
        </w:rPr>
        <w:t xml:space="preserve"> </w:t>
      </w:r>
      <w:r w:rsidR="007C09CB" w:rsidRPr="007C09CB">
        <w:rPr>
          <w:rFonts w:ascii="Century Gothic" w:hAnsi="Century Gothic"/>
          <w:color w:val="auto"/>
          <w:sz w:val="22"/>
          <w:szCs w:val="22"/>
          <w:lang w:val="it-IT"/>
        </w:rPr>
        <w:t xml:space="preserve">ha </w:t>
      </w:r>
      <w:r w:rsidR="00C82737" w:rsidRPr="007C09CB">
        <w:rPr>
          <w:rFonts w:ascii="Century Gothic" w:hAnsi="Century Gothic"/>
          <w:sz w:val="22"/>
          <w:szCs w:val="22"/>
          <w:lang w:val="it-IT"/>
        </w:rPr>
        <w:t xml:space="preserve">concluso </w:t>
      </w:r>
      <w:r w:rsidR="007C09CB" w:rsidRPr="007C09CB">
        <w:rPr>
          <w:rFonts w:ascii="Century Gothic" w:hAnsi="Century Gothic"/>
          <w:sz w:val="22"/>
          <w:szCs w:val="22"/>
          <w:lang w:val="it-IT"/>
        </w:rPr>
        <w:t xml:space="preserve">in Italia </w:t>
      </w:r>
      <w:r w:rsidR="00C82737" w:rsidRPr="007C09CB">
        <w:rPr>
          <w:rFonts w:ascii="Century Gothic" w:hAnsi="Century Gothic"/>
          <w:sz w:val="22"/>
          <w:szCs w:val="22"/>
          <w:lang w:val="it-IT"/>
        </w:rPr>
        <w:t>transazioni per 650 milioni di euro tra acquisizioni e vendite, concentrando</w:t>
      </w:r>
      <w:r w:rsidR="007C09CB" w:rsidRPr="007C09CB">
        <w:rPr>
          <w:rFonts w:ascii="Century Gothic" w:hAnsi="Century Gothic"/>
          <w:sz w:val="22"/>
          <w:szCs w:val="22"/>
          <w:lang w:val="it-IT"/>
        </w:rPr>
        <w:t>s</w:t>
      </w:r>
      <w:r w:rsidR="00C82737" w:rsidRPr="007C09CB">
        <w:rPr>
          <w:rFonts w:ascii="Century Gothic" w:hAnsi="Century Gothic"/>
          <w:sz w:val="22"/>
          <w:szCs w:val="22"/>
          <w:lang w:val="it-IT"/>
        </w:rPr>
        <w:t xml:space="preserve">i su tre filoni principali: la logistica di ultimo miglio, che </w:t>
      </w:r>
      <w:r w:rsidR="007C09CB" w:rsidRPr="007C09CB">
        <w:rPr>
          <w:rFonts w:ascii="Century Gothic" w:hAnsi="Century Gothic"/>
          <w:sz w:val="22"/>
          <w:szCs w:val="22"/>
          <w:lang w:val="it-IT"/>
        </w:rPr>
        <w:t>l’</w:t>
      </w:r>
      <w:r w:rsidR="00C82737" w:rsidRPr="007C09CB">
        <w:rPr>
          <w:rFonts w:ascii="Century Gothic" w:hAnsi="Century Gothic"/>
          <w:sz w:val="22"/>
          <w:szCs w:val="22"/>
          <w:lang w:val="it-IT"/>
        </w:rPr>
        <w:t>ha vist</w:t>
      </w:r>
      <w:r w:rsidR="007C09CB" w:rsidRPr="007C09CB">
        <w:rPr>
          <w:rFonts w:ascii="Century Gothic" w:hAnsi="Century Gothic"/>
          <w:sz w:val="22"/>
          <w:szCs w:val="22"/>
          <w:lang w:val="it-IT"/>
        </w:rPr>
        <w:t>a</w:t>
      </w:r>
      <w:r w:rsidR="00C82737" w:rsidRPr="007C09CB">
        <w:rPr>
          <w:rFonts w:ascii="Century Gothic" w:hAnsi="Century Gothic"/>
          <w:sz w:val="22"/>
          <w:szCs w:val="22"/>
          <w:lang w:val="it-IT"/>
        </w:rPr>
        <w:t xml:space="preserve"> protagonist</w:t>
      </w:r>
      <w:r w:rsidR="007C09CB" w:rsidRPr="007C09CB">
        <w:rPr>
          <w:rFonts w:ascii="Century Gothic" w:hAnsi="Century Gothic"/>
          <w:sz w:val="22"/>
          <w:szCs w:val="22"/>
          <w:lang w:val="it-IT"/>
        </w:rPr>
        <w:t>a</w:t>
      </w:r>
      <w:r w:rsidR="00C82737" w:rsidRPr="007C09CB">
        <w:rPr>
          <w:rFonts w:ascii="Century Gothic" w:hAnsi="Century Gothic"/>
          <w:sz w:val="22"/>
          <w:szCs w:val="22"/>
          <w:lang w:val="it-IT"/>
        </w:rPr>
        <w:t xml:space="preserve"> di un’acquisizione importante a Brescia, le residenze sanitarie assistenziali con l’ampliamento del Fondo Innovazione Salute, e il food retail con l’avanzamento del programma di investimento dei fondi Mercury che investono in supermercati CONAD in tutta Italia.</w:t>
      </w:r>
    </w:p>
    <w:sectPr w:rsidR="00FD67F9" w:rsidRPr="007C09CB">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56541" w14:textId="77777777" w:rsidR="00CF5336" w:rsidRDefault="00CF5336" w:rsidP="00DB53E2">
      <w:pPr>
        <w:spacing w:after="0" w:line="240" w:lineRule="auto"/>
      </w:pPr>
      <w:r>
        <w:separator/>
      </w:r>
    </w:p>
  </w:endnote>
  <w:endnote w:type="continuationSeparator" w:id="0">
    <w:p w14:paraId="27E1EC0A" w14:textId="77777777" w:rsidR="00CF5336" w:rsidRDefault="00CF5336" w:rsidP="00DB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B57B1" w14:textId="77777777" w:rsidR="00CF5336" w:rsidRDefault="00CF5336" w:rsidP="00DB53E2">
      <w:pPr>
        <w:spacing w:after="0" w:line="240" w:lineRule="auto"/>
      </w:pPr>
      <w:r>
        <w:separator/>
      </w:r>
    </w:p>
  </w:footnote>
  <w:footnote w:type="continuationSeparator" w:id="0">
    <w:p w14:paraId="52C2CD53" w14:textId="77777777" w:rsidR="00CF5336" w:rsidRDefault="00CF5336" w:rsidP="00DB5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DF24" w14:textId="77777777" w:rsidR="006E5EF9" w:rsidRDefault="00CF533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74"/>
    <w:rsid w:val="00025E61"/>
    <w:rsid w:val="00081876"/>
    <w:rsid w:val="00083D3A"/>
    <w:rsid w:val="000B5BBD"/>
    <w:rsid w:val="00151969"/>
    <w:rsid w:val="0021620F"/>
    <w:rsid w:val="00243613"/>
    <w:rsid w:val="00257259"/>
    <w:rsid w:val="002C7C18"/>
    <w:rsid w:val="002E3D20"/>
    <w:rsid w:val="002F1302"/>
    <w:rsid w:val="00307C8C"/>
    <w:rsid w:val="003807B0"/>
    <w:rsid w:val="00382A85"/>
    <w:rsid w:val="00384525"/>
    <w:rsid w:val="00386A5F"/>
    <w:rsid w:val="003F1B63"/>
    <w:rsid w:val="00413ACA"/>
    <w:rsid w:val="004922CA"/>
    <w:rsid w:val="004B14E2"/>
    <w:rsid w:val="004F614F"/>
    <w:rsid w:val="005401F6"/>
    <w:rsid w:val="00582DC4"/>
    <w:rsid w:val="005C3914"/>
    <w:rsid w:val="005C49D7"/>
    <w:rsid w:val="00665158"/>
    <w:rsid w:val="00684521"/>
    <w:rsid w:val="006A238F"/>
    <w:rsid w:val="00705065"/>
    <w:rsid w:val="00752ACC"/>
    <w:rsid w:val="007C09CB"/>
    <w:rsid w:val="008765EB"/>
    <w:rsid w:val="00894ADC"/>
    <w:rsid w:val="00900B8B"/>
    <w:rsid w:val="00913722"/>
    <w:rsid w:val="00927310"/>
    <w:rsid w:val="009F06B4"/>
    <w:rsid w:val="00A30E73"/>
    <w:rsid w:val="00A3113D"/>
    <w:rsid w:val="00A37A19"/>
    <w:rsid w:val="00A575AC"/>
    <w:rsid w:val="00A72067"/>
    <w:rsid w:val="00AA4D67"/>
    <w:rsid w:val="00AB5DE9"/>
    <w:rsid w:val="00AE09C5"/>
    <w:rsid w:val="00AE0A1F"/>
    <w:rsid w:val="00AE1B06"/>
    <w:rsid w:val="00B5140B"/>
    <w:rsid w:val="00B67974"/>
    <w:rsid w:val="00BB7D1F"/>
    <w:rsid w:val="00BC157C"/>
    <w:rsid w:val="00BE7FB8"/>
    <w:rsid w:val="00BF7883"/>
    <w:rsid w:val="00C00FAF"/>
    <w:rsid w:val="00C53BCB"/>
    <w:rsid w:val="00C619F6"/>
    <w:rsid w:val="00C82737"/>
    <w:rsid w:val="00C913AB"/>
    <w:rsid w:val="00CF23DB"/>
    <w:rsid w:val="00CF5336"/>
    <w:rsid w:val="00D51563"/>
    <w:rsid w:val="00D90162"/>
    <w:rsid w:val="00DB0DCB"/>
    <w:rsid w:val="00DB53E2"/>
    <w:rsid w:val="00DB672C"/>
    <w:rsid w:val="00DC781E"/>
    <w:rsid w:val="00DE5085"/>
    <w:rsid w:val="00DF1308"/>
    <w:rsid w:val="00DF14A3"/>
    <w:rsid w:val="00E22ED8"/>
    <w:rsid w:val="00E3238D"/>
    <w:rsid w:val="00E5225D"/>
    <w:rsid w:val="00E70435"/>
    <w:rsid w:val="00E856FA"/>
    <w:rsid w:val="00EA2004"/>
    <w:rsid w:val="00EE75A0"/>
    <w:rsid w:val="00F04735"/>
    <w:rsid w:val="00F17ED7"/>
    <w:rsid w:val="00F20D1E"/>
    <w:rsid w:val="00F63DC8"/>
    <w:rsid w:val="00F643BC"/>
    <w:rsid w:val="00FB4743"/>
    <w:rsid w:val="00FD4A92"/>
    <w:rsid w:val="00FD6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D2FD4"/>
  <w15:chartTrackingRefBased/>
  <w15:docId w15:val="{904EA2A9-00A0-43FD-903C-AED432FB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7974"/>
  </w:style>
  <w:style w:type="paragraph" w:styleId="Titolo1">
    <w:name w:val="heading 1"/>
    <w:basedOn w:val="Normale"/>
    <w:next w:val="Normale"/>
    <w:link w:val="Titolo1Carattere"/>
    <w:uiPriority w:val="9"/>
    <w:qFormat/>
    <w:rsid w:val="00A311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79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7974"/>
  </w:style>
  <w:style w:type="character" w:styleId="Enfasigrassetto">
    <w:name w:val="Strong"/>
    <w:basedOn w:val="Carpredefinitoparagrafo"/>
    <w:uiPriority w:val="22"/>
    <w:qFormat/>
    <w:rsid w:val="00B67974"/>
    <w:rPr>
      <w:b/>
      <w:bCs/>
    </w:rPr>
  </w:style>
  <w:style w:type="paragraph" w:customStyle="1" w:styleId="Default">
    <w:name w:val="Default"/>
    <w:rsid w:val="00B67974"/>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67974"/>
    <w:rPr>
      <w:color w:val="0563C1" w:themeColor="hyperlink"/>
      <w:u w:val="single"/>
    </w:rPr>
  </w:style>
  <w:style w:type="character" w:styleId="Menzionenonrisolta">
    <w:name w:val="Unresolved Mention"/>
    <w:basedOn w:val="Carpredefinitoparagrafo"/>
    <w:uiPriority w:val="99"/>
    <w:semiHidden/>
    <w:unhideWhenUsed/>
    <w:rsid w:val="00B67974"/>
    <w:rPr>
      <w:color w:val="605E5C"/>
      <w:shd w:val="clear" w:color="auto" w:fill="E1DFDD"/>
    </w:rPr>
  </w:style>
  <w:style w:type="paragraph" w:styleId="Pidipagina">
    <w:name w:val="footer"/>
    <w:basedOn w:val="Normale"/>
    <w:link w:val="PidipaginaCarattere"/>
    <w:uiPriority w:val="99"/>
    <w:unhideWhenUsed/>
    <w:rsid w:val="00DB53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53E2"/>
  </w:style>
  <w:style w:type="paragraph" w:customStyle="1" w:styleId="xmsonormal">
    <w:name w:val="x_msonormal"/>
    <w:basedOn w:val="Normale"/>
    <w:rsid w:val="00A72067"/>
    <w:pPr>
      <w:spacing w:line="252" w:lineRule="auto"/>
    </w:pPr>
    <w:rPr>
      <w:rFonts w:ascii="Calibri" w:hAnsi="Calibri" w:cs="Calibri"/>
      <w:lang w:eastAsia="it-IT"/>
    </w:rPr>
  </w:style>
  <w:style w:type="paragraph" w:styleId="NormaleWeb">
    <w:name w:val="Normal (Web)"/>
    <w:basedOn w:val="Normale"/>
    <w:uiPriority w:val="99"/>
    <w:unhideWhenUsed/>
    <w:rsid w:val="006A238F"/>
    <w:rPr>
      <w:rFonts w:ascii="Times New Roman" w:hAnsi="Times New Roman" w:cs="Times New Roman"/>
      <w:sz w:val="24"/>
      <w:szCs w:val="24"/>
    </w:rPr>
  </w:style>
  <w:style w:type="character" w:customStyle="1" w:styleId="Titolo1Carattere">
    <w:name w:val="Titolo 1 Carattere"/>
    <w:basedOn w:val="Carpredefinitoparagrafo"/>
    <w:link w:val="Titolo1"/>
    <w:uiPriority w:val="9"/>
    <w:rsid w:val="00A3113D"/>
    <w:rPr>
      <w:rFonts w:asciiTheme="majorHAnsi" w:eastAsiaTheme="majorEastAsia" w:hAnsiTheme="majorHAnsi" w:cstheme="majorBidi"/>
      <w:color w:val="2F5496" w:themeColor="accent1" w:themeShade="BF"/>
      <w:sz w:val="32"/>
      <w:szCs w:val="32"/>
    </w:rPr>
  </w:style>
  <w:style w:type="paragraph" w:customStyle="1" w:styleId="BodyCopy">
    <w:name w:val="Body Copy"/>
    <w:basedOn w:val="Normale"/>
    <w:qFormat/>
    <w:rsid w:val="00FD67F9"/>
    <w:pPr>
      <w:autoSpaceDE w:val="0"/>
      <w:autoSpaceDN w:val="0"/>
      <w:adjustRightInd w:val="0"/>
      <w:spacing w:after="0" w:line="240" w:lineRule="auto"/>
    </w:pPr>
    <w:rPr>
      <w:rFonts w:ascii="Times New Roman" w:eastAsia="Times New Roman" w:hAnsi="Times New Roman" w:cs="Times New Roman"/>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8146">
      <w:bodyDiv w:val="1"/>
      <w:marLeft w:val="0"/>
      <w:marRight w:val="0"/>
      <w:marTop w:val="0"/>
      <w:marBottom w:val="0"/>
      <w:divBdr>
        <w:top w:val="none" w:sz="0" w:space="0" w:color="auto"/>
        <w:left w:val="none" w:sz="0" w:space="0" w:color="auto"/>
        <w:bottom w:val="none" w:sz="0" w:space="0" w:color="auto"/>
        <w:right w:val="none" w:sz="0" w:space="0" w:color="auto"/>
      </w:divBdr>
    </w:div>
    <w:div w:id="397287253">
      <w:bodyDiv w:val="1"/>
      <w:marLeft w:val="0"/>
      <w:marRight w:val="0"/>
      <w:marTop w:val="0"/>
      <w:marBottom w:val="0"/>
      <w:divBdr>
        <w:top w:val="none" w:sz="0" w:space="0" w:color="auto"/>
        <w:left w:val="none" w:sz="0" w:space="0" w:color="auto"/>
        <w:bottom w:val="none" w:sz="0" w:space="0" w:color="auto"/>
        <w:right w:val="none" w:sz="0" w:space="0" w:color="auto"/>
      </w:divBdr>
    </w:div>
    <w:div w:id="537204890">
      <w:bodyDiv w:val="1"/>
      <w:marLeft w:val="0"/>
      <w:marRight w:val="0"/>
      <w:marTop w:val="0"/>
      <w:marBottom w:val="0"/>
      <w:divBdr>
        <w:top w:val="none" w:sz="0" w:space="0" w:color="auto"/>
        <w:left w:val="none" w:sz="0" w:space="0" w:color="auto"/>
        <w:bottom w:val="none" w:sz="0" w:space="0" w:color="auto"/>
        <w:right w:val="none" w:sz="0" w:space="0" w:color="auto"/>
      </w:divBdr>
    </w:div>
    <w:div w:id="675036062">
      <w:bodyDiv w:val="1"/>
      <w:marLeft w:val="0"/>
      <w:marRight w:val="0"/>
      <w:marTop w:val="0"/>
      <w:marBottom w:val="0"/>
      <w:divBdr>
        <w:top w:val="none" w:sz="0" w:space="0" w:color="auto"/>
        <w:left w:val="none" w:sz="0" w:space="0" w:color="auto"/>
        <w:bottom w:val="none" w:sz="0" w:space="0" w:color="auto"/>
        <w:right w:val="none" w:sz="0" w:space="0" w:color="auto"/>
      </w:divBdr>
    </w:div>
    <w:div w:id="701319562">
      <w:bodyDiv w:val="1"/>
      <w:marLeft w:val="0"/>
      <w:marRight w:val="0"/>
      <w:marTop w:val="0"/>
      <w:marBottom w:val="0"/>
      <w:divBdr>
        <w:top w:val="none" w:sz="0" w:space="0" w:color="auto"/>
        <w:left w:val="none" w:sz="0" w:space="0" w:color="auto"/>
        <w:bottom w:val="none" w:sz="0" w:space="0" w:color="auto"/>
        <w:right w:val="none" w:sz="0" w:space="0" w:color="auto"/>
      </w:divBdr>
    </w:div>
    <w:div w:id="704020140">
      <w:bodyDiv w:val="1"/>
      <w:marLeft w:val="0"/>
      <w:marRight w:val="0"/>
      <w:marTop w:val="0"/>
      <w:marBottom w:val="0"/>
      <w:divBdr>
        <w:top w:val="none" w:sz="0" w:space="0" w:color="auto"/>
        <w:left w:val="none" w:sz="0" w:space="0" w:color="auto"/>
        <w:bottom w:val="none" w:sz="0" w:space="0" w:color="auto"/>
        <w:right w:val="none" w:sz="0" w:space="0" w:color="auto"/>
      </w:divBdr>
    </w:div>
    <w:div w:id="705645014">
      <w:bodyDiv w:val="1"/>
      <w:marLeft w:val="0"/>
      <w:marRight w:val="0"/>
      <w:marTop w:val="0"/>
      <w:marBottom w:val="0"/>
      <w:divBdr>
        <w:top w:val="none" w:sz="0" w:space="0" w:color="auto"/>
        <w:left w:val="none" w:sz="0" w:space="0" w:color="auto"/>
        <w:bottom w:val="none" w:sz="0" w:space="0" w:color="auto"/>
        <w:right w:val="none" w:sz="0" w:space="0" w:color="auto"/>
      </w:divBdr>
      <w:divsChild>
        <w:div w:id="813527816">
          <w:marLeft w:val="0"/>
          <w:marRight w:val="0"/>
          <w:marTop w:val="0"/>
          <w:marBottom w:val="0"/>
          <w:divBdr>
            <w:top w:val="none" w:sz="0" w:space="0" w:color="auto"/>
            <w:left w:val="none" w:sz="0" w:space="0" w:color="auto"/>
            <w:bottom w:val="none" w:sz="0" w:space="0" w:color="auto"/>
            <w:right w:val="none" w:sz="0" w:space="0" w:color="auto"/>
          </w:divBdr>
        </w:div>
      </w:divsChild>
    </w:div>
    <w:div w:id="750397269">
      <w:bodyDiv w:val="1"/>
      <w:marLeft w:val="0"/>
      <w:marRight w:val="0"/>
      <w:marTop w:val="0"/>
      <w:marBottom w:val="0"/>
      <w:divBdr>
        <w:top w:val="none" w:sz="0" w:space="0" w:color="auto"/>
        <w:left w:val="none" w:sz="0" w:space="0" w:color="auto"/>
        <w:bottom w:val="none" w:sz="0" w:space="0" w:color="auto"/>
        <w:right w:val="none" w:sz="0" w:space="0" w:color="auto"/>
      </w:divBdr>
      <w:divsChild>
        <w:div w:id="402216603">
          <w:marLeft w:val="0"/>
          <w:marRight w:val="0"/>
          <w:marTop w:val="0"/>
          <w:marBottom w:val="0"/>
          <w:divBdr>
            <w:top w:val="none" w:sz="0" w:space="0" w:color="auto"/>
            <w:left w:val="none" w:sz="0" w:space="0" w:color="auto"/>
            <w:bottom w:val="none" w:sz="0" w:space="0" w:color="auto"/>
            <w:right w:val="none" w:sz="0" w:space="0" w:color="auto"/>
          </w:divBdr>
        </w:div>
      </w:divsChild>
    </w:div>
    <w:div w:id="1437672711">
      <w:bodyDiv w:val="1"/>
      <w:marLeft w:val="0"/>
      <w:marRight w:val="0"/>
      <w:marTop w:val="0"/>
      <w:marBottom w:val="0"/>
      <w:divBdr>
        <w:top w:val="none" w:sz="0" w:space="0" w:color="auto"/>
        <w:left w:val="none" w:sz="0" w:space="0" w:color="auto"/>
        <w:bottom w:val="none" w:sz="0" w:space="0" w:color="auto"/>
        <w:right w:val="none" w:sz="0" w:space="0" w:color="auto"/>
      </w:divBdr>
    </w:div>
    <w:div w:id="1514303077">
      <w:bodyDiv w:val="1"/>
      <w:marLeft w:val="0"/>
      <w:marRight w:val="0"/>
      <w:marTop w:val="0"/>
      <w:marBottom w:val="0"/>
      <w:divBdr>
        <w:top w:val="none" w:sz="0" w:space="0" w:color="auto"/>
        <w:left w:val="none" w:sz="0" w:space="0" w:color="auto"/>
        <w:bottom w:val="none" w:sz="0" w:space="0" w:color="auto"/>
        <w:right w:val="none" w:sz="0" w:space="0" w:color="auto"/>
      </w:divBdr>
    </w:div>
    <w:div w:id="1948850076">
      <w:bodyDiv w:val="1"/>
      <w:marLeft w:val="0"/>
      <w:marRight w:val="0"/>
      <w:marTop w:val="0"/>
      <w:marBottom w:val="0"/>
      <w:divBdr>
        <w:top w:val="none" w:sz="0" w:space="0" w:color="auto"/>
        <w:left w:val="none" w:sz="0" w:space="0" w:color="auto"/>
        <w:bottom w:val="none" w:sz="0" w:space="0" w:color="auto"/>
        <w:right w:val="none" w:sz="0" w:space="0" w:color="auto"/>
      </w:divBdr>
      <w:divsChild>
        <w:div w:id="25686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beez.it/2020/07/16/management-buyout-sator-immobiliare-sgr-diventa-blue-sgr-puri-negri-sale-al-4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E:\Download\CS%20CBRES-Savills%20UNES.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beez.it/private-equity/management-buyout-sator-immobiliare-sgr-diventa-blue-sgr-puri-negri-sale-al-4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bebeez.it/real-estate-2/hines-e-allianz-investono-80-mln-euro-nel-fondo-urban-mile-di-blue-sgr-che-compra-terreno-per-sviluppo-logistico-in-via-rubattino-a-milano/" TargetMode="External"/><Relationship Id="rId4" Type="http://schemas.openxmlformats.org/officeDocument/2006/relationships/footnotes" Target="footnotes.xml"/><Relationship Id="rId9" Type="http://schemas.openxmlformats.org/officeDocument/2006/relationships/hyperlink" Target="https://bluesgr.com/fond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614</Words>
  <Characters>3505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Banco BPM</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NATOLI</dc:creator>
  <cp:keywords/>
  <dc:description/>
  <cp:lastModifiedBy>GIANLUCA NATOLI</cp:lastModifiedBy>
  <cp:revision>4</cp:revision>
  <dcterms:created xsi:type="dcterms:W3CDTF">2022-05-09T14:24:00Z</dcterms:created>
  <dcterms:modified xsi:type="dcterms:W3CDTF">2022-05-09T16:20:00Z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b66a3f-23d5-47bf-b334-f79590e3341a_Enabled">
    <vt:lpwstr>true</vt:lpwstr>
  </property>
  <property fmtid="{D5CDD505-2E9C-101B-9397-08002B2CF9AE}" pid="3" name="MSIP_Label_25b66a3f-23d5-47bf-b334-f79590e3341a_SetDate">
    <vt:lpwstr>2022-04-26T17:10:18Z</vt:lpwstr>
  </property>
  <property fmtid="{D5CDD505-2E9C-101B-9397-08002B2CF9AE}" pid="4" name="MSIP_Label_25b66a3f-23d5-47bf-b334-f79590e3341a_Method">
    <vt:lpwstr>Privileged</vt:lpwstr>
  </property>
  <property fmtid="{D5CDD505-2E9C-101B-9397-08002B2CF9AE}" pid="5" name="MSIP_Label_25b66a3f-23d5-47bf-b334-f79590e3341a_Name">
    <vt:lpwstr>Pubblico</vt:lpwstr>
  </property>
  <property fmtid="{D5CDD505-2E9C-101B-9397-08002B2CF9AE}" pid="6" name="MSIP_Label_25b66a3f-23d5-47bf-b334-f79590e3341a_SiteId">
    <vt:lpwstr>dfe794a4-c273-408a-92de-2566d5a8e56b</vt:lpwstr>
  </property>
  <property fmtid="{D5CDD505-2E9C-101B-9397-08002B2CF9AE}" pid="7" name="MSIP_Label_25b66a3f-23d5-47bf-b334-f79590e3341a_ActionId">
    <vt:lpwstr>7d3b70d5-6966-49a8-9abf-dcf5a62214ac</vt:lpwstr>
  </property>
  <property fmtid="{D5CDD505-2E9C-101B-9397-08002B2CF9AE}" pid="8" name="MSIP_Label_25b66a3f-23d5-47bf-b334-f79590e3341a_ContentBits">
    <vt:lpwstr>0</vt:lpwstr>
  </property>
</Properties>
</file>