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D9BE" w14:textId="73D622FB" w:rsidR="00187220" w:rsidRDefault="00187220" w:rsidP="007F7B17">
      <w:pPr>
        <w:rPr>
          <w:b/>
          <w:sz w:val="32"/>
          <w:szCs w:val="32"/>
          <w:lang w:val="it-IT"/>
        </w:rPr>
      </w:pPr>
      <w:bookmarkStart w:id="0" w:name="_Hlk12526955"/>
    </w:p>
    <w:p w14:paraId="553530A6" w14:textId="77777777" w:rsidR="0068576B" w:rsidRDefault="0068576B" w:rsidP="00E154E2">
      <w:pPr>
        <w:jc w:val="center"/>
        <w:rPr>
          <w:rFonts w:ascii="ING Me" w:hAnsi="ING Me" w:cstheme="minorHAnsi"/>
          <w:b/>
          <w:sz w:val="32"/>
          <w:szCs w:val="32"/>
          <w:lang w:val="it-IT"/>
        </w:rPr>
      </w:pPr>
    </w:p>
    <w:p w14:paraId="6A044C3B" w14:textId="711DC13C" w:rsidR="00E154E2" w:rsidRPr="003E6E01" w:rsidRDefault="00E154E2" w:rsidP="00E154E2">
      <w:pPr>
        <w:jc w:val="center"/>
        <w:rPr>
          <w:rFonts w:ascii="ING Me" w:hAnsi="ING Me" w:cstheme="minorHAnsi"/>
          <w:b/>
          <w:color w:val="FF6600"/>
          <w:sz w:val="36"/>
          <w:szCs w:val="24"/>
          <w:lang w:val="it-IT"/>
        </w:rPr>
      </w:pPr>
      <w:r w:rsidRPr="003E6E01">
        <w:rPr>
          <w:rFonts w:ascii="ING Me" w:hAnsi="ING Me" w:cstheme="minorHAnsi"/>
          <w:b/>
          <w:color w:val="FF6600"/>
          <w:sz w:val="36"/>
          <w:szCs w:val="36"/>
          <w:lang w:val="it-IT"/>
        </w:rPr>
        <w:t>Da ING</w:t>
      </w:r>
      <w:r w:rsidR="003E6E01">
        <w:rPr>
          <w:rFonts w:ascii="ING Me" w:hAnsi="ING Me" w:cstheme="minorHAnsi"/>
          <w:b/>
          <w:color w:val="FF6600"/>
          <w:sz w:val="36"/>
          <w:szCs w:val="36"/>
          <w:lang w:val="it-IT"/>
        </w:rPr>
        <w:t xml:space="preserve"> Italia</w:t>
      </w:r>
      <w:r w:rsidRPr="003E6E01">
        <w:rPr>
          <w:rFonts w:ascii="ING Me" w:hAnsi="ING Me" w:cstheme="minorHAnsi"/>
          <w:b/>
          <w:color w:val="FF6600"/>
          <w:sz w:val="36"/>
          <w:szCs w:val="36"/>
          <w:lang w:val="it-IT"/>
        </w:rPr>
        <w:t xml:space="preserve"> nuovo</w:t>
      </w:r>
      <w:r w:rsidRPr="003E6E01">
        <w:rPr>
          <w:rFonts w:ascii="ING Me" w:hAnsi="ING Me" w:cstheme="minorHAnsi"/>
          <w:b/>
          <w:color w:val="FF6600"/>
          <w:sz w:val="36"/>
          <w:szCs w:val="24"/>
          <w:lang w:val="it-IT"/>
        </w:rPr>
        <w:t xml:space="preserve"> green loan </w:t>
      </w:r>
      <w:r w:rsidR="008204F8">
        <w:rPr>
          <w:rFonts w:ascii="ING Me" w:hAnsi="ING Me" w:cstheme="minorHAnsi"/>
          <w:b/>
          <w:color w:val="FF6600"/>
          <w:sz w:val="36"/>
          <w:szCs w:val="24"/>
          <w:lang w:val="it-IT"/>
        </w:rPr>
        <w:t xml:space="preserve">a Kervis SGR </w:t>
      </w:r>
      <w:r w:rsidRPr="003E6E01">
        <w:rPr>
          <w:rFonts w:ascii="ING Me" w:hAnsi="ING Me" w:cstheme="minorHAnsi"/>
          <w:b/>
          <w:color w:val="FF6600"/>
          <w:sz w:val="36"/>
          <w:szCs w:val="24"/>
          <w:lang w:val="it-IT"/>
        </w:rPr>
        <w:t xml:space="preserve">nel settore </w:t>
      </w:r>
      <w:r w:rsidR="007F7B17" w:rsidRPr="003E6E01">
        <w:rPr>
          <w:rFonts w:ascii="ING Me" w:hAnsi="ING Me" w:cstheme="minorHAnsi"/>
          <w:b/>
          <w:color w:val="FF6600"/>
          <w:sz w:val="36"/>
          <w:szCs w:val="24"/>
          <w:lang w:val="it-IT"/>
        </w:rPr>
        <w:t>della logistica</w:t>
      </w:r>
      <w:r w:rsidRPr="003E6E01">
        <w:rPr>
          <w:rFonts w:ascii="ING Me" w:hAnsi="ING Me" w:cstheme="minorHAnsi"/>
          <w:b/>
          <w:color w:val="FF6600"/>
          <w:sz w:val="36"/>
          <w:szCs w:val="24"/>
          <w:lang w:val="it-IT"/>
        </w:rPr>
        <w:t xml:space="preserve"> </w:t>
      </w:r>
    </w:p>
    <w:p w14:paraId="7DBF915F" w14:textId="77777777" w:rsidR="0068576B" w:rsidRPr="0086221A" w:rsidRDefault="0068576B" w:rsidP="0086221A">
      <w:pPr>
        <w:jc w:val="both"/>
        <w:rPr>
          <w:rFonts w:ascii="ING Me" w:hAnsi="ING Me"/>
          <w:b/>
          <w:color w:val="000000" w:themeColor="text1"/>
          <w:sz w:val="24"/>
          <w:lang w:val="it-IT"/>
        </w:rPr>
      </w:pPr>
    </w:p>
    <w:p w14:paraId="2EB58B3B" w14:textId="2C5B723D" w:rsidR="007F7B17" w:rsidRPr="00D907CF" w:rsidRDefault="007F7B17" w:rsidP="0086221A">
      <w:pPr>
        <w:pStyle w:val="Paragrafoelenco"/>
        <w:numPr>
          <w:ilvl w:val="0"/>
          <w:numId w:val="25"/>
        </w:numPr>
        <w:jc w:val="both"/>
        <w:rPr>
          <w:rFonts w:ascii="ING Me" w:hAnsi="ING Me"/>
          <w:b/>
          <w:bCs/>
          <w:sz w:val="24"/>
          <w:szCs w:val="24"/>
          <w:lang w:val="it-IT" w:eastAsia="it-IT"/>
        </w:rPr>
      </w:pPr>
      <w:r w:rsidRPr="00D907CF">
        <w:rPr>
          <w:rFonts w:ascii="ING Me" w:hAnsi="ING Me"/>
          <w:b/>
          <w:bCs/>
          <w:sz w:val="24"/>
          <w:szCs w:val="24"/>
          <w:lang w:val="it-IT" w:eastAsia="it-IT"/>
        </w:rPr>
        <w:t>Il finanziamento, strutturato secondo i Green Loan Principles dalla Loan Market Assoc</w:t>
      </w:r>
      <w:r w:rsidR="00A8466A">
        <w:rPr>
          <w:rFonts w:ascii="ING Me" w:hAnsi="ING Me"/>
          <w:b/>
          <w:bCs/>
          <w:sz w:val="24"/>
          <w:szCs w:val="24"/>
          <w:lang w:val="it-IT" w:eastAsia="it-IT"/>
        </w:rPr>
        <w:t>i</w:t>
      </w:r>
      <w:r w:rsidRPr="00D907CF">
        <w:rPr>
          <w:rFonts w:ascii="ING Me" w:hAnsi="ING Me"/>
          <w:b/>
          <w:bCs/>
          <w:sz w:val="24"/>
          <w:szCs w:val="24"/>
          <w:lang w:val="it-IT" w:eastAsia="it-IT"/>
        </w:rPr>
        <w:t>ation, è allineato ai principi di tassonomi</w:t>
      </w:r>
      <w:r w:rsidR="0086221A" w:rsidRPr="00D907CF">
        <w:rPr>
          <w:rFonts w:ascii="ING Me" w:hAnsi="ING Me"/>
          <w:b/>
          <w:bCs/>
          <w:sz w:val="24"/>
          <w:szCs w:val="24"/>
          <w:lang w:val="it-IT" w:eastAsia="it-IT"/>
        </w:rPr>
        <w:t>a</w:t>
      </w:r>
      <w:r w:rsidRPr="00D907CF">
        <w:rPr>
          <w:rFonts w:ascii="ING Me" w:hAnsi="ING Me"/>
          <w:b/>
          <w:bCs/>
          <w:sz w:val="24"/>
          <w:szCs w:val="24"/>
          <w:lang w:val="it-IT" w:eastAsia="it-IT"/>
        </w:rPr>
        <w:t xml:space="preserve"> fissati a livello europeo</w:t>
      </w:r>
      <w:r w:rsidR="0086221A" w:rsidRPr="00D907CF">
        <w:rPr>
          <w:rFonts w:ascii="ING Me" w:hAnsi="ING Me"/>
          <w:b/>
          <w:bCs/>
          <w:sz w:val="24"/>
          <w:szCs w:val="24"/>
          <w:lang w:val="it-IT" w:eastAsia="it-IT"/>
        </w:rPr>
        <w:t xml:space="preserve"> per i</w:t>
      </w:r>
      <w:r w:rsidR="00A8466A">
        <w:rPr>
          <w:rFonts w:ascii="ING Me" w:hAnsi="ING Me"/>
          <w:b/>
          <w:bCs/>
          <w:sz w:val="24"/>
          <w:szCs w:val="24"/>
          <w:lang w:val="it-IT" w:eastAsia="it-IT"/>
        </w:rPr>
        <w:t>nvestimenti Green</w:t>
      </w:r>
      <w:r w:rsidR="0086221A" w:rsidRPr="00D907CF">
        <w:rPr>
          <w:rFonts w:ascii="ING Me" w:hAnsi="ING Me"/>
          <w:b/>
          <w:bCs/>
          <w:sz w:val="24"/>
          <w:szCs w:val="24"/>
          <w:lang w:val="it-IT" w:eastAsia="it-IT"/>
        </w:rPr>
        <w:t>.</w:t>
      </w:r>
    </w:p>
    <w:p w14:paraId="67A6CDEE" w14:textId="77777777" w:rsidR="0086221A" w:rsidRPr="00D907CF" w:rsidRDefault="0086221A" w:rsidP="0086221A">
      <w:pPr>
        <w:pStyle w:val="Paragrafoelenco"/>
        <w:jc w:val="both"/>
        <w:rPr>
          <w:rFonts w:ascii="ING Me" w:hAnsi="ING Me"/>
          <w:b/>
          <w:bCs/>
          <w:sz w:val="24"/>
          <w:szCs w:val="24"/>
          <w:lang w:val="it-IT" w:eastAsia="it-IT"/>
        </w:rPr>
      </w:pPr>
    </w:p>
    <w:p w14:paraId="2A789909" w14:textId="1D8AD277" w:rsidR="0086221A" w:rsidRPr="00D907CF" w:rsidRDefault="0086221A" w:rsidP="0086221A">
      <w:pPr>
        <w:pStyle w:val="Paragrafoelenco"/>
        <w:numPr>
          <w:ilvl w:val="0"/>
          <w:numId w:val="25"/>
        </w:numPr>
        <w:jc w:val="both"/>
        <w:rPr>
          <w:rFonts w:ascii="ING Me" w:hAnsi="ING Me"/>
          <w:b/>
          <w:bCs/>
          <w:sz w:val="24"/>
          <w:szCs w:val="24"/>
          <w:lang w:val="it-IT" w:eastAsia="it-IT"/>
        </w:rPr>
      </w:pPr>
      <w:r w:rsidRPr="00D907CF">
        <w:rPr>
          <w:rFonts w:ascii="ING Me" w:hAnsi="ING Me"/>
          <w:b/>
          <w:bCs/>
          <w:sz w:val="24"/>
          <w:szCs w:val="24"/>
          <w:lang w:val="it-IT" w:eastAsia="it-IT"/>
        </w:rPr>
        <w:t>La linea di credito concessa a Kervis SGR, in qualità di gestore del fondo BGO Logistics Fund 1,</w:t>
      </w:r>
      <w:r w:rsidR="00580B56">
        <w:rPr>
          <w:rFonts w:ascii="ING Me" w:hAnsi="ING Me"/>
          <w:b/>
          <w:bCs/>
          <w:sz w:val="24"/>
          <w:szCs w:val="24"/>
          <w:lang w:val="it-IT" w:eastAsia="it-IT"/>
        </w:rPr>
        <w:t xml:space="preserve"> fondo interamente </w:t>
      </w:r>
      <w:r w:rsidR="001C3E59">
        <w:rPr>
          <w:rFonts w:ascii="ING Me" w:hAnsi="ING Me"/>
          <w:b/>
          <w:bCs/>
          <w:sz w:val="24"/>
          <w:szCs w:val="24"/>
          <w:lang w:val="it-IT" w:eastAsia="it-IT"/>
        </w:rPr>
        <w:t>partecipato</w:t>
      </w:r>
      <w:r w:rsidR="00580B56">
        <w:rPr>
          <w:rFonts w:ascii="ING Me" w:hAnsi="ING Me"/>
          <w:b/>
          <w:bCs/>
          <w:sz w:val="24"/>
          <w:szCs w:val="24"/>
          <w:lang w:val="it-IT" w:eastAsia="it-IT"/>
        </w:rPr>
        <w:t xml:space="preserve"> da BentallGreenOak,</w:t>
      </w:r>
      <w:r w:rsidRPr="00D907CF">
        <w:rPr>
          <w:rFonts w:ascii="ING Me" w:hAnsi="ING Me"/>
          <w:b/>
          <w:bCs/>
          <w:sz w:val="24"/>
          <w:szCs w:val="24"/>
          <w:lang w:val="it-IT" w:eastAsia="it-IT"/>
        </w:rPr>
        <w:t xml:space="preserve"> è garantita da due asset che rientrano nella categoria </w:t>
      </w:r>
      <w:r w:rsidRPr="00D907CF">
        <w:rPr>
          <w:rFonts w:ascii="ING Me" w:hAnsi="ING Me"/>
          <w:b/>
          <w:bCs/>
          <w:i/>
          <w:iCs/>
          <w:sz w:val="24"/>
          <w:szCs w:val="24"/>
          <w:lang w:val="it-IT" w:eastAsia="it-IT"/>
        </w:rPr>
        <w:t xml:space="preserve">Green Buildings </w:t>
      </w:r>
      <w:r w:rsidRPr="00D907CF">
        <w:rPr>
          <w:rFonts w:ascii="ING Me" w:hAnsi="ING Me"/>
          <w:b/>
          <w:bCs/>
          <w:sz w:val="24"/>
          <w:szCs w:val="24"/>
          <w:lang w:val="it-IT" w:eastAsia="it-IT"/>
        </w:rPr>
        <w:t>e prevede la restituzione del capitale in un’unica soluzione</w:t>
      </w:r>
      <w:r w:rsidR="00A07593" w:rsidRPr="00D907CF">
        <w:rPr>
          <w:rFonts w:ascii="ING Me" w:hAnsi="ING Me"/>
          <w:b/>
          <w:bCs/>
          <w:sz w:val="24"/>
          <w:szCs w:val="24"/>
          <w:lang w:val="it-IT" w:eastAsia="it-IT"/>
        </w:rPr>
        <w:t xml:space="preserve"> </w:t>
      </w:r>
    </w:p>
    <w:p w14:paraId="3B81CDC3" w14:textId="77777777" w:rsidR="0068576B" w:rsidRPr="0068576B" w:rsidRDefault="0068576B" w:rsidP="0068576B">
      <w:pPr>
        <w:pStyle w:val="Paragrafoelenco"/>
        <w:ind w:left="426"/>
        <w:jc w:val="both"/>
        <w:rPr>
          <w:rFonts w:ascii="ING Me" w:hAnsi="ING Me"/>
          <w:b/>
          <w:color w:val="000000" w:themeColor="text1"/>
          <w:sz w:val="24"/>
          <w:lang w:val="it-IT"/>
        </w:rPr>
      </w:pPr>
    </w:p>
    <w:p w14:paraId="4E80A0FD" w14:textId="1DC02875" w:rsidR="0086221A" w:rsidRDefault="00E154E2" w:rsidP="00BD625D">
      <w:pPr>
        <w:shd w:val="clear" w:color="auto" w:fill="FFFFFF"/>
        <w:spacing w:after="100" w:afterAutospacing="1" w:line="360" w:lineRule="atLeast"/>
        <w:jc w:val="both"/>
        <w:rPr>
          <w:rFonts w:ascii="ING Me" w:hAnsi="ING Me" w:cstheme="minorHAnsi"/>
          <w:sz w:val="24"/>
          <w:lang w:val="it-IT"/>
        </w:rPr>
      </w:pPr>
      <w:r w:rsidRPr="0068576B">
        <w:rPr>
          <w:rFonts w:ascii="ING Me" w:hAnsi="ING Me" w:cstheme="minorHAnsi"/>
          <w:sz w:val="24"/>
          <w:lang w:val="it-IT"/>
        </w:rPr>
        <w:t xml:space="preserve">Milano, </w:t>
      </w:r>
      <w:r w:rsidR="00DA46B0">
        <w:rPr>
          <w:rFonts w:ascii="ING Me" w:hAnsi="ING Me" w:cstheme="minorHAnsi"/>
          <w:sz w:val="24"/>
          <w:lang w:val="it-IT"/>
        </w:rPr>
        <w:t>17</w:t>
      </w:r>
      <w:r w:rsidRPr="0068576B">
        <w:rPr>
          <w:rFonts w:ascii="ING Me" w:hAnsi="ING Me" w:cstheme="minorHAnsi"/>
          <w:sz w:val="24"/>
          <w:lang w:val="it-IT"/>
        </w:rPr>
        <w:t xml:space="preserve"> </w:t>
      </w:r>
      <w:r w:rsidR="00D27C7E">
        <w:rPr>
          <w:rFonts w:ascii="ING Me" w:hAnsi="ING Me" w:cstheme="minorHAnsi"/>
          <w:sz w:val="24"/>
          <w:lang w:val="it-IT"/>
        </w:rPr>
        <w:t>maggio</w:t>
      </w:r>
      <w:r w:rsidRPr="0068576B">
        <w:rPr>
          <w:rFonts w:ascii="ING Me" w:hAnsi="ING Me" w:cstheme="minorHAnsi"/>
          <w:sz w:val="24"/>
          <w:lang w:val="it-IT"/>
        </w:rPr>
        <w:t xml:space="preserve"> 202</w:t>
      </w:r>
      <w:r w:rsidR="00D27C7E">
        <w:rPr>
          <w:rFonts w:ascii="ING Me" w:hAnsi="ING Me" w:cstheme="minorHAnsi"/>
          <w:sz w:val="24"/>
          <w:lang w:val="it-IT"/>
        </w:rPr>
        <w:t>2</w:t>
      </w:r>
      <w:r w:rsidRPr="0068576B">
        <w:rPr>
          <w:rFonts w:ascii="ING Me" w:hAnsi="ING Me" w:cstheme="minorHAnsi"/>
          <w:sz w:val="24"/>
          <w:lang w:val="it-IT"/>
        </w:rPr>
        <w:t xml:space="preserve"> - ING Italia</w:t>
      </w:r>
      <w:r w:rsidR="00BD625D">
        <w:rPr>
          <w:rFonts w:ascii="ING Me" w:hAnsi="ING Me" w:cstheme="minorHAnsi"/>
          <w:sz w:val="24"/>
          <w:lang w:val="it-IT"/>
        </w:rPr>
        <w:t xml:space="preserve">, in qualità di </w:t>
      </w:r>
      <w:r w:rsidR="00BD625D">
        <w:rPr>
          <w:rFonts w:ascii="ING Me" w:hAnsi="ING Me" w:cstheme="minorHAnsi"/>
          <w:i/>
          <w:iCs/>
          <w:sz w:val="24"/>
          <w:lang w:val="it-IT"/>
        </w:rPr>
        <w:t xml:space="preserve">Sole Mandated Lead Arranger </w:t>
      </w:r>
      <w:r w:rsidR="00BD625D">
        <w:rPr>
          <w:rFonts w:ascii="ING Me" w:hAnsi="ING Me" w:cstheme="minorHAnsi"/>
          <w:sz w:val="24"/>
          <w:lang w:val="it-IT"/>
        </w:rPr>
        <w:t xml:space="preserve">e </w:t>
      </w:r>
      <w:r w:rsidR="00BD625D">
        <w:rPr>
          <w:rFonts w:ascii="ING Me" w:hAnsi="ING Me" w:cstheme="minorHAnsi"/>
          <w:i/>
          <w:iCs/>
          <w:sz w:val="24"/>
          <w:lang w:val="it-IT"/>
        </w:rPr>
        <w:t xml:space="preserve">Green Advisor, </w:t>
      </w:r>
      <w:r w:rsidR="00E064BF">
        <w:rPr>
          <w:rFonts w:ascii="ING Me" w:hAnsi="ING Me" w:cstheme="minorHAnsi"/>
          <w:sz w:val="24"/>
          <w:lang w:val="it-IT"/>
        </w:rPr>
        <w:t>ha erogato un</w:t>
      </w:r>
      <w:r w:rsidR="001A5315">
        <w:rPr>
          <w:rFonts w:ascii="ING Me" w:hAnsi="ING Me" w:cstheme="minorHAnsi"/>
          <w:sz w:val="24"/>
          <w:lang w:val="it-IT"/>
        </w:rPr>
        <w:t xml:space="preserve"> finanziamento </w:t>
      </w:r>
      <w:r w:rsidR="003E6E01">
        <w:rPr>
          <w:rFonts w:ascii="ING Me" w:hAnsi="ING Me" w:cstheme="minorHAnsi"/>
          <w:sz w:val="24"/>
          <w:lang w:val="it-IT"/>
        </w:rPr>
        <w:t>di</w:t>
      </w:r>
      <w:r w:rsidR="00580B56">
        <w:rPr>
          <w:rFonts w:ascii="ING Me" w:hAnsi="ING Me" w:cstheme="minorHAnsi"/>
          <w:sz w:val="24"/>
          <w:lang w:val="it-IT"/>
        </w:rPr>
        <w:t xml:space="preserve"> </w:t>
      </w:r>
      <w:r w:rsidR="003E6E01">
        <w:rPr>
          <w:rFonts w:ascii="ING Me" w:hAnsi="ING Me" w:cstheme="minorHAnsi"/>
          <w:sz w:val="24"/>
          <w:lang w:val="it-IT"/>
        </w:rPr>
        <w:t xml:space="preserve">28,5 </w:t>
      </w:r>
      <w:r w:rsidR="003E6E01" w:rsidRPr="00A8466A">
        <w:rPr>
          <w:rFonts w:ascii="ING Me" w:hAnsi="ING Me" w:cstheme="minorHAnsi"/>
          <w:sz w:val="24"/>
          <w:lang w:val="it-IT"/>
        </w:rPr>
        <w:t xml:space="preserve">milioni di euro </w:t>
      </w:r>
      <w:r w:rsidR="001A5315" w:rsidRPr="00A8466A">
        <w:rPr>
          <w:rFonts w:ascii="ING Me" w:hAnsi="ING Me" w:cstheme="minorHAnsi"/>
          <w:sz w:val="24"/>
          <w:lang w:val="it-IT"/>
        </w:rPr>
        <w:t>della durata di</w:t>
      </w:r>
      <w:r w:rsidR="00E064BF" w:rsidRPr="00A8466A">
        <w:rPr>
          <w:rFonts w:ascii="ING Me" w:hAnsi="ING Me" w:cstheme="minorHAnsi"/>
          <w:sz w:val="24"/>
          <w:lang w:val="it-IT"/>
        </w:rPr>
        <w:t xml:space="preserve"> 5 anni con restituzione del capitale in un’unica soluzione </w:t>
      </w:r>
      <w:r w:rsidR="00E064BF" w:rsidRPr="00A8466A">
        <w:rPr>
          <w:rFonts w:ascii="ING Me" w:hAnsi="ING Me" w:cstheme="minorHAnsi"/>
          <w:i/>
          <w:iCs/>
          <w:sz w:val="24"/>
          <w:lang w:val="it-IT"/>
        </w:rPr>
        <w:t>(Bullet Term Loan)</w:t>
      </w:r>
      <w:r w:rsidR="00E064BF">
        <w:rPr>
          <w:rFonts w:ascii="ING Me" w:hAnsi="ING Me" w:cstheme="minorHAnsi"/>
          <w:i/>
          <w:iCs/>
          <w:sz w:val="24"/>
          <w:lang w:val="it-IT"/>
        </w:rPr>
        <w:t xml:space="preserve"> </w:t>
      </w:r>
      <w:r w:rsidR="00E064BF">
        <w:rPr>
          <w:rFonts w:ascii="ING Me" w:hAnsi="ING Me" w:cstheme="minorHAnsi"/>
          <w:sz w:val="24"/>
          <w:lang w:val="it-IT"/>
        </w:rPr>
        <w:t xml:space="preserve">a favore di BGO Logistics Fund 1, </w:t>
      </w:r>
      <w:r w:rsidR="00C2192A">
        <w:rPr>
          <w:rFonts w:ascii="ING Me" w:hAnsi="ING Me" w:cstheme="minorHAnsi"/>
          <w:sz w:val="24"/>
          <w:lang w:val="it-IT"/>
        </w:rPr>
        <w:t>il fondo di investimento italiano alternativo immobiliare di tipo chiuso gestito da Kervis SGR</w:t>
      </w:r>
      <w:r w:rsidR="00580B56">
        <w:rPr>
          <w:rFonts w:ascii="ING Me" w:hAnsi="ING Me" w:cstheme="minorHAnsi"/>
          <w:sz w:val="24"/>
          <w:lang w:val="it-IT"/>
        </w:rPr>
        <w:t xml:space="preserve"> e interamente partecipato da BentallGreenOak</w:t>
      </w:r>
      <w:r w:rsidR="00C2192A">
        <w:rPr>
          <w:rFonts w:ascii="ING Me" w:hAnsi="ING Me" w:cstheme="minorHAnsi"/>
          <w:sz w:val="24"/>
          <w:lang w:val="it-IT"/>
        </w:rPr>
        <w:t xml:space="preserve">. </w:t>
      </w:r>
    </w:p>
    <w:p w14:paraId="7CCFC3C2" w14:textId="41842C7F" w:rsidR="0086221A" w:rsidRDefault="00196855" w:rsidP="00BD625D">
      <w:pPr>
        <w:shd w:val="clear" w:color="auto" w:fill="FFFFFF"/>
        <w:spacing w:after="100" w:afterAutospacing="1" w:line="360" w:lineRule="atLeast"/>
        <w:jc w:val="both"/>
        <w:rPr>
          <w:rFonts w:ascii="ING Me" w:hAnsi="ING Me" w:cstheme="minorHAnsi"/>
          <w:i/>
          <w:iCs/>
          <w:sz w:val="24"/>
          <w:lang w:val="it-IT"/>
        </w:rPr>
      </w:pPr>
      <w:r>
        <w:rPr>
          <w:rFonts w:ascii="ING Me" w:hAnsi="ING Me" w:cstheme="minorHAnsi"/>
          <w:sz w:val="24"/>
          <w:lang w:val="it-IT"/>
        </w:rPr>
        <w:t xml:space="preserve">Il finanziamento è garantito da due complessi logistici di </w:t>
      </w:r>
      <w:r w:rsidR="00580B56">
        <w:rPr>
          <w:rFonts w:ascii="ING Me" w:hAnsi="ING Me" w:cstheme="minorHAnsi"/>
          <w:sz w:val="24"/>
          <w:lang w:val="it-IT"/>
        </w:rPr>
        <w:t xml:space="preserve">circa </w:t>
      </w:r>
      <w:r>
        <w:rPr>
          <w:rFonts w:ascii="ING Me" w:hAnsi="ING Me" w:cstheme="minorHAnsi"/>
          <w:sz w:val="24"/>
          <w:lang w:val="it-IT"/>
        </w:rPr>
        <w:t xml:space="preserve">63.000 metri quadrati, situati a Settimo Torinese </w:t>
      </w:r>
      <w:r w:rsidR="00BB1056">
        <w:rPr>
          <w:rFonts w:ascii="ING Me" w:hAnsi="ING Me" w:cstheme="minorHAnsi"/>
          <w:sz w:val="24"/>
          <w:lang w:val="it-IT"/>
        </w:rPr>
        <w:t xml:space="preserve">(TO) e </w:t>
      </w:r>
      <w:r w:rsidR="003E6E01">
        <w:rPr>
          <w:rFonts w:ascii="ING Me" w:hAnsi="ING Me" w:cstheme="minorHAnsi"/>
          <w:sz w:val="24"/>
          <w:lang w:val="it-IT"/>
        </w:rPr>
        <w:t xml:space="preserve">a </w:t>
      </w:r>
      <w:r w:rsidR="00BB1056">
        <w:rPr>
          <w:rFonts w:ascii="ING Me" w:hAnsi="ING Me" w:cstheme="minorHAnsi"/>
          <w:sz w:val="24"/>
          <w:lang w:val="it-IT"/>
        </w:rPr>
        <w:t xml:space="preserve">Vigasio (VR), </w:t>
      </w:r>
      <w:r w:rsidR="003E6E01">
        <w:rPr>
          <w:rFonts w:ascii="ING Me" w:hAnsi="ING Me" w:cstheme="minorHAnsi"/>
          <w:sz w:val="24"/>
          <w:lang w:val="it-IT"/>
        </w:rPr>
        <w:t>in locazione</w:t>
      </w:r>
      <w:r w:rsidR="00BB1056">
        <w:rPr>
          <w:rFonts w:ascii="ING Me" w:hAnsi="ING Me" w:cstheme="minorHAnsi"/>
          <w:sz w:val="24"/>
          <w:lang w:val="it-IT"/>
        </w:rPr>
        <w:t xml:space="preserve"> a due prestigiosi locata</w:t>
      </w:r>
      <w:r w:rsidR="00BB1056" w:rsidRPr="00A8466A">
        <w:rPr>
          <w:rFonts w:ascii="ING Me" w:hAnsi="ING Me" w:cstheme="minorHAnsi"/>
          <w:sz w:val="24"/>
          <w:lang w:val="it-IT"/>
        </w:rPr>
        <w:t>ri.</w:t>
      </w:r>
      <w:r w:rsidR="00BB1056">
        <w:rPr>
          <w:rFonts w:ascii="ING Me" w:hAnsi="ING Me" w:cstheme="minorHAnsi"/>
          <w:sz w:val="24"/>
          <w:lang w:val="it-IT"/>
        </w:rPr>
        <w:t xml:space="preserve"> Grazie alle loro spiccate caratteristiche di sostenibilità</w:t>
      </w:r>
      <w:r w:rsidR="003E6E01">
        <w:rPr>
          <w:rFonts w:ascii="ING Me" w:hAnsi="ING Me" w:cstheme="minorHAnsi"/>
          <w:sz w:val="24"/>
          <w:lang w:val="it-IT"/>
        </w:rPr>
        <w:t>,</w:t>
      </w:r>
      <w:r w:rsidR="00BB1056">
        <w:rPr>
          <w:rFonts w:ascii="ING Me" w:hAnsi="ING Me" w:cstheme="minorHAnsi"/>
          <w:sz w:val="24"/>
          <w:lang w:val="it-IT"/>
        </w:rPr>
        <w:t xml:space="preserve"> come la certificazione energetica A4</w:t>
      </w:r>
      <w:r w:rsidR="003E6E01">
        <w:rPr>
          <w:rFonts w:ascii="ING Me" w:hAnsi="ING Me" w:cstheme="minorHAnsi"/>
          <w:sz w:val="24"/>
          <w:lang w:val="it-IT"/>
        </w:rPr>
        <w:t xml:space="preserve"> e la </w:t>
      </w:r>
      <w:r w:rsidR="00BB1056">
        <w:rPr>
          <w:rFonts w:ascii="ING Me" w:hAnsi="ING Me" w:cstheme="minorHAnsi"/>
          <w:sz w:val="24"/>
          <w:lang w:val="it-IT"/>
        </w:rPr>
        <w:t xml:space="preserve">presenza di impianti solari e </w:t>
      </w:r>
      <w:r w:rsidR="000B0D20">
        <w:rPr>
          <w:rFonts w:ascii="ING Me" w:hAnsi="ING Me" w:cstheme="minorHAnsi"/>
          <w:sz w:val="24"/>
          <w:lang w:val="it-IT"/>
        </w:rPr>
        <w:t>geotermici</w:t>
      </w:r>
      <w:r w:rsidR="005074E2">
        <w:rPr>
          <w:rFonts w:ascii="ING Me" w:hAnsi="ING Me" w:cstheme="minorHAnsi"/>
          <w:sz w:val="24"/>
          <w:lang w:val="it-IT"/>
        </w:rPr>
        <w:t>, e</w:t>
      </w:r>
      <w:r w:rsidR="00BB1056">
        <w:rPr>
          <w:rFonts w:ascii="ING Me" w:hAnsi="ING Me" w:cstheme="minorHAnsi"/>
          <w:sz w:val="24"/>
          <w:lang w:val="it-IT"/>
        </w:rPr>
        <w:t xml:space="preserve">ntrambi gli asset rientrano nell’ambito della categoria </w:t>
      </w:r>
      <w:r w:rsidR="00BB1056">
        <w:rPr>
          <w:rFonts w:ascii="ING Me" w:hAnsi="ING Me" w:cstheme="minorHAnsi"/>
          <w:i/>
          <w:iCs/>
          <w:sz w:val="24"/>
          <w:lang w:val="it-IT"/>
        </w:rPr>
        <w:t>Green Buildings</w:t>
      </w:r>
      <w:r w:rsidR="001A5315">
        <w:rPr>
          <w:rFonts w:ascii="ING Me" w:hAnsi="ING Me" w:cstheme="minorHAnsi"/>
          <w:i/>
          <w:iCs/>
          <w:sz w:val="24"/>
          <w:lang w:val="it-IT"/>
        </w:rPr>
        <w:t xml:space="preserve">. </w:t>
      </w:r>
    </w:p>
    <w:p w14:paraId="32349196" w14:textId="64706C28" w:rsidR="00C2192A" w:rsidRPr="001A5315" w:rsidRDefault="001A5315" w:rsidP="00BD625D">
      <w:pPr>
        <w:shd w:val="clear" w:color="auto" w:fill="FFFFFF"/>
        <w:spacing w:after="100" w:afterAutospacing="1" w:line="360" w:lineRule="atLeast"/>
        <w:jc w:val="both"/>
        <w:rPr>
          <w:rFonts w:ascii="ING Me" w:hAnsi="ING Me" w:cstheme="minorHAnsi"/>
          <w:sz w:val="24"/>
          <w:lang w:val="it-IT"/>
        </w:rPr>
      </w:pPr>
      <w:r>
        <w:rPr>
          <w:rFonts w:ascii="ING Me" w:hAnsi="ING Me" w:cstheme="minorHAnsi"/>
          <w:sz w:val="24"/>
          <w:lang w:val="it-IT"/>
        </w:rPr>
        <w:t xml:space="preserve">La linea di credito di ING, </w:t>
      </w:r>
      <w:r w:rsidRPr="001A5315">
        <w:rPr>
          <w:rFonts w:ascii="ING Me" w:hAnsi="ING Me" w:cstheme="minorHAnsi"/>
          <w:sz w:val="24"/>
          <w:lang w:val="it-IT"/>
        </w:rPr>
        <w:t xml:space="preserve">strutturata secondo i </w:t>
      </w:r>
      <w:r w:rsidRPr="007F7B17">
        <w:rPr>
          <w:rFonts w:ascii="ING Me" w:hAnsi="ING Me" w:cstheme="minorHAnsi"/>
          <w:i/>
          <w:iCs/>
          <w:sz w:val="24"/>
          <w:lang w:val="it-IT"/>
        </w:rPr>
        <w:t>Green Loan Principles</w:t>
      </w:r>
      <w:r w:rsidRPr="001A5315">
        <w:rPr>
          <w:rFonts w:ascii="ING Me" w:hAnsi="ING Me" w:cstheme="minorHAnsi"/>
          <w:sz w:val="24"/>
          <w:lang w:val="it-IT"/>
        </w:rPr>
        <w:t xml:space="preserve"> emessi dalla Loan Market Association</w:t>
      </w:r>
      <w:r>
        <w:rPr>
          <w:rFonts w:ascii="ING Me" w:hAnsi="ING Me" w:cstheme="minorHAnsi"/>
          <w:sz w:val="24"/>
          <w:lang w:val="it-IT"/>
        </w:rPr>
        <w:t xml:space="preserve">, </w:t>
      </w:r>
      <w:r w:rsidR="00D27C7E">
        <w:rPr>
          <w:rFonts w:ascii="ING Me" w:hAnsi="ING Me" w:cstheme="minorHAnsi"/>
          <w:sz w:val="24"/>
          <w:lang w:val="it-IT"/>
        </w:rPr>
        <w:t xml:space="preserve">è allineata anche ai principi di tassonomia stabiliti a livello europeo per </w:t>
      </w:r>
      <w:r w:rsidR="00A8466A">
        <w:rPr>
          <w:rFonts w:ascii="ING Me" w:hAnsi="ING Me" w:cstheme="minorHAnsi"/>
          <w:sz w:val="24"/>
          <w:lang w:val="it-IT"/>
        </w:rPr>
        <w:t>investimenti Green</w:t>
      </w:r>
      <w:r w:rsidR="00D27C7E">
        <w:rPr>
          <w:rFonts w:ascii="ING Me" w:hAnsi="ING Me" w:cstheme="minorHAnsi"/>
          <w:sz w:val="24"/>
          <w:lang w:val="it-IT"/>
        </w:rPr>
        <w:t xml:space="preserve">. </w:t>
      </w:r>
    </w:p>
    <w:p w14:paraId="72BD2AA8" w14:textId="621A59E6" w:rsidR="00FD1065" w:rsidRPr="0068576B" w:rsidRDefault="00F022B1" w:rsidP="00491A1A">
      <w:pPr>
        <w:spacing w:line="276" w:lineRule="auto"/>
        <w:jc w:val="both"/>
        <w:rPr>
          <w:rFonts w:ascii="ING Me" w:hAnsi="ING Me" w:cstheme="minorHAnsi"/>
          <w:b/>
          <w:color w:val="FF6600"/>
          <w:sz w:val="24"/>
          <w:szCs w:val="24"/>
          <w:lang w:val="it-IT"/>
        </w:rPr>
      </w:pPr>
      <w:r w:rsidRPr="0068576B">
        <w:rPr>
          <w:rFonts w:ascii="ING Me" w:hAnsi="ING Me" w:cstheme="minorHAnsi"/>
          <w:b/>
          <w:color w:val="FF6600"/>
          <w:sz w:val="24"/>
          <w:szCs w:val="24"/>
          <w:lang w:val="it-IT"/>
        </w:rPr>
        <w:t xml:space="preserve">La </w:t>
      </w:r>
      <w:r w:rsidR="005F20BF" w:rsidRPr="0068576B">
        <w:rPr>
          <w:rFonts w:ascii="ING Me" w:hAnsi="ING Me" w:cstheme="minorHAnsi"/>
          <w:b/>
          <w:color w:val="FF6600"/>
          <w:sz w:val="24"/>
          <w:szCs w:val="24"/>
          <w:lang w:val="it-IT"/>
        </w:rPr>
        <w:t xml:space="preserve">Leadership </w:t>
      </w:r>
      <w:r w:rsidRPr="0068576B">
        <w:rPr>
          <w:rFonts w:ascii="ING Me" w:hAnsi="ING Me" w:cstheme="minorHAnsi"/>
          <w:b/>
          <w:color w:val="FF6600"/>
          <w:sz w:val="24"/>
          <w:szCs w:val="24"/>
          <w:lang w:val="it-IT"/>
        </w:rPr>
        <w:t>di ING nel</w:t>
      </w:r>
      <w:r w:rsidR="005F20BF" w:rsidRPr="0068576B">
        <w:rPr>
          <w:rFonts w:ascii="ING Me" w:hAnsi="ING Me" w:cstheme="minorHAnsi"/>
          <w:b/>
          <w:color w:val="FF6600"/>
          <w:sz w:val="24"/>
          <w:szCs w:val="24"/>
          <w:lang w:val="it-IT"/>
        </w:rPr>
        <w:t xml:space="preserve"> </w:t>
      </w:r>
      <w:r w:rsidRPr="0068576B">
        <w:rPr>
          <w:rFonts w:ascii="ING Me" w:hAnsi="ING Me" w:cstheme="minorHAnsi"/>
          <w:b/>
          <w:color w:val="FF6600"/>
          <w:sz w:val="24"/>
          <w:szCs w:val="24"/>
          <w:lang w:val="it-IT"/>
        </w:rPr>
        <w:t>R</w:t>
      </w:r>
      <w:r w:rsidR="005F20BF" w:rsidRPr="0068576B">
        <w:rPr>
          <w:rFonts w:ascii="ING Me" w:hAnsi="ING Me" w:cstheme="minorHAnsi"/>
          <w:b/>
          <w:color w:val="FF6600"/>
          <w:sz w:val="24"/>
          <w:szCs w:val="24"/>
          <w:lang w:val="it-IT"/>
        </w:rPr>
        <w:t xml:space="preserve">eal </w:t>
      </w:r>
      <w:r w:rsidRPr="0068576B">
        <w:rPr>
          <w:rFonts w:ascii="ING Me" w:hAnsi="ING Me" w:cstheme="minorHAnsi"/>
          <w:b/>
          <w:color w:val="FF6600"/>
          <w:sz w:val="24"/>
          <w:szCs w:val="24"/>
          <w:lang w:val="it-IT"/>
        </w:rPr>
        <w:t>E</w:t>
      </w:r>
      <w:r w:rsidR="005F20BF" w:rsidRPr="0068576B">
        <w:rPr>
          <w:rFonts w:ascii="ING Me" w:hAnsi="ING Me" w:cstheme="minorHAnsi"/>
          <w:b/>
          <w:color w:val="FF6600"/>
          <w:sz w:val="24"/>
          <w:szCs w:val="24"/>
          <w:lang w:val="it-IT"/>
        </w:rPr>
        <w:t xml:space="preserve">state </w:t>
      </w:r>
      <w:r w:rsidRPr="0068576B">
        <w:rPr>
          <w:rFonts w:ascii="ING Me" w:hAnsi="ING Me" w:cstheme="minorHAnsi"/>
          <w:b/>
          <w:color w:val="FF6600"/>
          <w:sz w:val="24"/>
          <w:szCs w:val="24"/>
          <w:lang w:val="it-IT"/>
        </w:rPr>
        <w:t>Finance</w:t>
      </w:r>
      <w:r w:rsidR="005F20BF" w:rsidRPr="0068576B">
        <w:rPr>
          <w:rFonts w:ascii="ING Me" w:hAnsi="ING Me" w:cstheme="minorHAnsi"/>
          <w:b/>
          <w:color w:val="FF6600"/>
          <w:sz w:val="24"/>
          <w:szCs w:val="24"/>
          <w:lang w:val="it-IT"/>
        </w:rPr>
        <w:t xml:space="preserve"> </w:t>
      </w:r>
      <w:r w:rsidRPr="0068576B">
        <w:rPr>
          <w:rFonts w:ascii="ING Me" w:hAnsi="ING Me" w:cstheme="minorHAnsi"/>
          <w:b/>
          <w:color w:val="FF6600"/>
          <w:sz w:val="24"/>
          <w:szCs w:val="24"/>
          <w:lang w:val="it-IT"/>
        </w:rPr>
        <w:t>con focus su asset sostenibili</w:t>
      </w:r>
    </w:p>
    <w:p w14:paraId="0AD98A6B" w14:textId="77777777" w:rsidR="00DA46B0" w:rsidRDefault="006B0900" w:rsidP="00491A1A">
      <w:pPr>
        <w:spacing w:line="276" w:lineRule="auto"/>
        <w:jc w:val="both"/>
        <w:rPr>
          <w:rFonts w:ascii="ING Me" w:hAnsi="ING Me" w:cstheme="minorHAnsi"/>
          <w:sz w:val="24"/>
          <w:szCs w:val="24"/>
          <w:lang w:val="it-IT"/>
        </w:rPr>
      </w:pPr>
      <w:r w:rsidRPr="0068576B">
        <w:rPr>
          <w:rFonts w:ascii="ING Me" w:hAnsi="ING Me" w:cstheme="minorHAnsi"/>
          <w:sz w:val="24"/>
          <w:szCs w:val="24"/>
          <w:lang w:val="it-IT"/>
        </w:rPr>
        <w:t>ING è una delle cinque maggiori banche del settore Real Estate in Europa e leader di mercato nei Paesi Bassi</w:t>
      </w:r>
      <w:r w:rsidRPr="00A8466A">
        <w:rPr>
          <w:rFonts w:ascii="ING Me" w:hAnsi="ING Me" w:cstheme="minorHAnsi"/>
          <w:sz w:val="24"/>
          <w:szCs w:val="24"/>
          <w:lang w:val="it-IT"/>
        </w:rPr>
        <w:t xml:space="preserve">. In Italia, la divisione di Real Estate Finance conta più di 1,5 € miliardi di asset di cui circa </w:t>
      </w:r>
      <w:r w:rsidR="00542FAD" w:rsidRPr="00A8466A">
        <w:rPr>
          <w:rFonts w:ascii="ING Me" w:hAnsi="ING Me" w:cstheme="minorHAnsi"/>
          <w:sz w:val="24"/>
          <w:szCs w:val="24"/>
          <w:lang w:val="it-IT"/>
        </w:rPr>
        <w:t>4</w:t>
      </w:r>
      <w:r w:rsidRPr="00A8466A">
        <w:rPr>
          <w:rFonts w:ascii="ING Me" w:hAnsi="ING Me" w:cstheme="minorHAnsi"/>
          <w:sz w:val="24"/>
          <w:szCs w:val="24"/>
          <w:lang w:val="it-IT"/>
        </w:rPr>
        <w:t>0% sono riferibili a immobili certificati come sostenibili per caratteristiche tecniche, strutturali ed energetiche.</w:t>
      </w:r>
      <w:r w:rsidR="00F022B1" w:rsidRPr="00A8466A">
        <w:rPr>
          <w:rFonts w:ascii="ING Me" w:hAnsi="ING Me" w:cstheme="minorHAnsi"/>
          <w:sz w:val="24"/>
          <w:szCs w:val="24"/>
          <w:lang w:val="it-IT"/>
        </w:rPr>
        <w:t xml:space="preserve"> </w:t>
      </w:r>
    </w:p>
    <w:p w14:paraId="6F6C6BCD" w14:textId="569FEB88" w:rsidR="008A7FC5" w:rsidRDefault="00F022B1" w:rsidP="00491A1A">
      <w:pPr>
        <w:spacing w:line="276" w:lineRule="auto"/>
        <w:jc w:val="both"/>
        <w:rPr>
          <w:rFonts w:ascii="ING Me" w:hAnsi="ING Me" w:cstheme="minorHAnsi"/>
          <w:sz w:val="24"/>
          <w:szCs w:val="24"/>
          <w:lang w:val="it-IT"/>
        </w:rPr>
      </w:pPr>
      <w:r w:rsidRPr="00A8466A">
        <w:rPr>
          <w:rFonts w:ascii="ING Me" w:hAnsi="ING Me" w:cstheme="minorHAnsi"/>
          <w:sz w:val="24"/>
          <w:szCs w:val="24"/>
          <w:lang w:val="it-IT"/>
        </w:rPr>
        <w:t>ING</w:t>
      </w:r>
      <w:r w:rsidRPr="0068576B">
        <w:rPr>
          <w:rFonts w:ascii="ING Me" w:hAnsi="ING Me" w:cstheme="minorHAnsi"/>
          <w:sz w:val="24"/>
          <w:szCs w:val="24"/>
          <w:lang w:val="it-IT"/>
        </w:rPr>
        <w:t xml:space="preserve"> </w:t>
      </w:r>
      <w:r w:rsidR="006B0900" w:rsidRPr="0068576B">
        <w:rPr>
          <w:rFonts w:ascii="ING Me" w:hAnsi="ING Me" w:cstheme="minorHAnsi"/>
          <w:sz w:val="24"/>
          <w:szCs w:val="24"/>
          <w:lang w:val="it-IT"/>
        </w:rPr>
        <w:t xml:space="preserve">ha intrapreso un percorso ben preciso per sostenere la transizione verso un mondo più sostenibile che prevede numerose azioni: in particolare, nel 2018 ha lanciato il </w:t>
      </w:r>
      <w:r w:rsidR="006B0900" w:rsidRPr="0068576B">
        <w:rPr>
          <w:rFonts w:ascii="ING Me" w:hAnsi="ING Me" w:cstheme="minorHAnsi"/>
          <w:sz w:val="24"/>
          <w:szCs w:val="24"/>
          <w:lang w:val="it-IT"/>
        </w:rPr>
        <w:lastRenderedPageBreak/>
        <w:t xml:space="preserve">“Progetto Terra”, attraverso cui si è posta l’obiettivo di orientare il proprio portafoglio di prestiti globale di circa </w:t>
      </w:r>
      <w:r w:rsidRPr="0068576B">
        <w:rPr>
          <w:rFonts w:ascii="ING Me" w:hAnsi="ING Me" w:cstheme="minorHAnsi"/>
          <w:sz w:val="24"/>
          <w:szCs w:val="24"/>
          <w:lang w:val="it-IT"/>
        </w:rPr>
        <w:t>7</w:t>
      </w:r>
      <w:r w:rsidR="006B0900" w:rsidRPr="0068576B">
        <w:rPr>
          <w:rFonts w:ascii="ING Me" w:hAnsi="ING Me" w:cstheme="minorHAnsi"/>
          <w:sz w:val="24"/>
          <w:szCs w:val="24"/>
          <w:lang w:val="it-IT"/>
        </w:rPr>
        <w:t>00 miliardi di euro verso l’obiettivo della riduzione del riscaldamento globale “ben al di sotto dei 2°C” stabilito dall’accordo di Parigi.</w:t>
      </w:r>
    </w:p>
    <w:p w14:paraId="084C081C" w14:textId="382D127F" w:rsidR="003E6E01" w:rsidRPr="0068576B" w:rsidRDefault="003E6E01" w:rsidP="00491A1A">
      <w:pPr>
        <w:spacing w:line="276" w:lineRule="auto"/>
        <w:jc w:val="both"/>
        <w:rPr>
          <w:rFonts w:ascii="ING Me" w:hAnsi="ING Me" w:cstheme="minorHAnsi"/>
          <w:sz w:val="24"/>
          <w:lang w:val="it-IT"/>
        </w:rPr>
      </w:pPr>
      <w:r w:rsidRPr="003E6E01">
        <w:rPr>
          <w:rFonts w:ascii="ING Me" w:hAnsi="ING Me" w:cstheme="minorHAnsi"/>
          <w:sz w:val="24"/>
          <w:lang w:val="it-IT"/>
        </w:rPr>
        <w:t>Il Gruppo ha inoltre annunciato a marzo che punta a far crescere del 50% i nuovi finanziamenti alle rinnovabili entro la fine del 2025. Una decisione che rientra nell’approccio “Terra”, con cui ING vuole orientare il portafoglio prestiti al fine di contenere l'aumento delle temperature globali entro gli 1,5 gradi Celsius, così da raggiungere l’obiettivo “Net Zero” (zero emissioni) entro il 2050.</w:t>
      </w:r>
    </w:p>
    <w:p w14:paraId="7A566C9D" w14:textId="373168FF" w:rsidR="008A7FC5" w:rsidRPr="00491A1A" w:rsidRDefault="008A7FC5">
      <w:pPr>
        <w:spacing w:before="60" w:after="60" w:line="276" w:lineRule="auto"/>
        <w:jc w:val="both"/>
        <w:rPr>
          <w:rFonts w:asciiTheme="minorHAnsi" w:hAnsiTheme="minorHAnsi" w:cstheme="minorHAnsi"/>
          <w:sz w:val="24"/>
          <w:lang w:val="it-IT"/>
        </w:rPr>
      </w:pPr>
    </w:p>
    <w:p w14:paraId="6A10629B" w14:textId="77777777" w:rsidR="00562679" w:rsidRPr="00491A1A" w:rsidRDefault="00562679" w:rsidP="00E154E2">
      <w:pPr>
        <w:spacing w:before="60" w:after="60" w:line="276" w:lineRule="auto"/>
        <w:jc w:val="both"/>
        <w:rPr>
          <w:sz w:val="24"/>
          <w:lang w:val="it-IT"/>
        </w:rPr>
      </w:pPr>
    </w:p>
    <w:bookmarkEnd w:id="0"/>
    <w:p w14:paraId="64A6ADD2" w14:textId="77777777" w:rsidR="00E154E2" w:rsidRPr="0068576B" w:rsidRDefault="00E154E2" w:rsidP="00E154E2">
      <w:pPr>
        <w:spacing w:before="60" w:after="60"/>
        <w:jc w:val="both"/>
        <w:rPr>
          <w:rFonts w:ascii="ING Me" w:hAnsi="ING Me"/>
          <w:b/>
          <w:sz w:val="18"/>
          <w:lang w:val="it-IT"/>
        </w:rPr>
      </w:pPr>
      <w:r w:rsidRPr="0068576B">
        <w:rPr>
          <w:rFonts w:ascii="ING Me" w:hAnsi="ING Me"/>
          <w:b/>
          <w:sz w:val="18"/>
          <w:lang w:val="it-IT"/>
        </w:rPr>
        <w:t>CONTATTI PER I MEDIA:</w:t>
      </w:r>
    </w:p>
    <w:p w14:paraId="696743A1" w14:textId="77777777" w:rsidR="00E154E2" w:rsidRPr="0068576B" w:rsidRDefault="00E154E2" w:rsidP="00E154E2">
      <w:pPr>
        <w:spacing w:beforeLines="40" w:before="96" w:afterLines="40" w:after="96"/>
        <w:ind w:right="-83"/>
        <w:rPr>
          <w:rFonts w:ascii="ING Me" w:hAnsi="ING Me"/>
          <w:b/>
          <w:sz w:val="18"/>
          <w:lang w:val="it-IT"/>
        </w:rPr>
      </w:pPr>
      <w:r w:rsidRPr="0068576B">
        <w:rPr>
          <w:rFonts w:ascii="ING Me" w:hAnsi="ING Me"/>
          <w:b/>
          <w:sz w:val="18"/>
          <w:lang w:val="it-IT"/>
        </w:rPr>
        <w:t>Lucio Rondinelli</w:t>
      </w:r>
      <w:r w:rsidRPr="0068576B">
        <w:rPr>
          <w:rFonts w:ascii="ING Me" w:hAnsi="ING Me"/>
          <w:sz w:val="18"/>
          <w:lang w:val="it-IT"/>
        </w:rPr>
        <w:t>, External Communications Manager ING Italia</w:t>
      </w:r>
    </w:p>
    <w:p w14:paraId="399A585F" w14:textId="77777777" w:rsidR="00E154E2" w:rsidRPr="003E6E01" w:rsidRDefault="00E154E2" w:rsidP="00E154E2">
      <w:pPr>
        <w:spacing w:beforeLines="40" w:before="96" w:afterLines="40" w:after="96"/>
        <w:ind w:right="-83"/>
        <w:rPr>
          <w:rStyle w:val="Collegamentoipertestuale"/>
          <w:rFonts w:ascii="ING Me" w:hAnsi="ING Me"/>
          <w:b/>
          <w:sz w:val="18"/>
          <w:lang w:val="fr-FR"/>
        </w:rPr>
      </w:pPr>
      <w:r w:rsidRPr="003E6E01">
        <w:rPr>
          <w:rFonts w:ascii="ING Me" w:hAnsi="ING Me"/>
          <w:sz w:val="18"/>
          <w:lang w:val="fr-FR"/>
        </w:rPr>
        <w:t xml:space="preserve">+39 340 8838599 - </w:t>
      </w:r>
      <w:hyperlink r:id="rId11" w:history="1">
        <w:r w:rsidRPr="003E6E01">
          <w:rPr>
            <w:rStyle w:val="Collegamentoipertestuale"/>
            <w:rFonts w:ascii="ING Me" w:hAnsi="ING Me"/>
            <w:sz w:val="18"/>
            <w:lang w:val="fr-FR"/>
          </w:rPr>
          <w:t>lucio.flavio.rondinelli@ing.com</w:t>
        </w:r>
      </w:hyperlink>
    </w:p>
    <w:p w14:paraId="713D0907" w14:textId="77777777" w:rsidR="00E154E2" w:rsidRPr="003E6E01" w:rsidRDefault="00E154E2" w:rsidP="00E154E2">
      <w:pPr>
        <w:spacing w:before="40" w:after="40"/>
        <w:ind w:right="-83"/>
        <w:rPr>
          <w:rFonts w:ascii="ING Me" w:hAnsi="ING Me"/>
          <w:b/>
          <w:sz w:val="18"/>
          <w:lang w:val="fr-FR"/>
        </w:rPr>
      </w:pPr>
      <w:r w:rsidRPr="003E6E01">
        <w:rPr>
          <w:rFonts w:ascii="ING Me" w:hAnsi="ING Me"/>
          <w:b/>
          <w:sz w:val="18"/>
          <w:lang w:val="fr-FR"/>
        </w:rPr>
        <w:t>Luca Damiani</w:t>
      </w:r>
      <w:r w:rsidRPr="003E6E01">
        <w:rPr>
          <w:rFonts w:ascii="ING Me" w:hAnsi="ING Me"/>
          <w:sz w:val="18"/>
          <w:lang w:val="fr-FR"/>
        </w:rPr>
        <w:t>, LOB PR+ Content</w:t>
      </w:r>
    </w:p>
    <w:p w14:paraId="4D904D8C" w14:textId="77777777" w:rsidR="00E154E2" w:rsidRPr="003E6E01" w:rsidRDefault="00E154E2" w:rsidP="00E154E2">
      <w:pPr>
        <w:spacing w:before="40" w:after="40" w:line="300" w:lineRule="auto"/>
        <w:ind w:right="4"/>
        <w:rPr>
          <w:rStyle w:val="Collegamentoipertestuale"/>
          <w:rFonts w:ascii="ING Me" w:hAnsi="ING Me"/>
          <w:b/>
          <w:sz w:val="18"/>
          <w:lang w:val="nl-NL"/>
        </w:rPr>
      </w:pPr>
      <w:r w:rsidRPr="003E6E01">
        <w:rPr>
          <w:rFonts w:ascii="ING Me" w:hAnsi="ING Me"/>
          <w:sz w:val="18"/>
          <w:lang w:val="nl-NL"/>
        </w:rPr>
        <w:t xml:space="preserve">+39 338 6904566 - </w:t>
      </w:r>
      <w:r w:rsidRPr="003E6E01">
        <w:rPr>
          <w:rStyle w:val="Collegamentoipertestuale"/>
          <w:rFonts w:ascii="ING Me" w:hAnsi="ING Me"/>
          <w:sz w:val="18"/>
          <w:lang w:val="nl-NL"/>
        </w:rPr>
        <w:t>ldamiani@lobcom.it</w:t>
      </w:r>
    </w:p>
    <w:p w14:paraId="31BCDF4A" w14:textId="77777777" w:rsidR="00E154E2" w:rsidRPr="003E6E01" w:rsidRDefault="00E154E2" w:rsidP="00E154E2">
      <w:pPr>
        <w:spacing w:before="60" w:after="60"/>
        <w:jc w:val="both"/>
        <w:rPr>
          <w:rFonts w:ascii="ING Me" w:hAnsi="ING Me"/>
          <w:sz w:val="18"/>
          <w:lang w:val="nl-NL"/>
        </w:rPr>
      </w:pPr>
    </w:p>
    <w:p w14:paraId="619B74D5" w14:textId="77777777" w:rsidR="00E154E2" w:rsidRPr="003E6E01" w:rsidRDefault="00E154E2" w:rsidP="008A7FC5">
      <w:pPr>
        <w:jc w:val="both"/>
        <w:rPr>
          <w:rFonts w:ascii="ING Me" w:hAnsi="ING Me"/>
          <w:b/>
          <w:sz w:val="18"/>
          <w:lang w:val="nl-NL"/>
        </w:rPr>
      </w:pPr>
      <w:r w:rsidRPr="003E6E01">
        <w:rPr>
          <w:rFonts w:ascii="ING Me" w:hAnsi="ING Me"/>
          <w:b/>
          <w:sz w:val="18"/>
          <w:lang w:val="nl-NL"/>
        </w:rPr>
        <w:t>PROFILO ING:</w:t>
      </w:r>
    </w:p>
    <w:p w14:paraId="1DA6D706" w14:textId="7A4A7644" w:rsidR="007F7B17" w:rsidRDefault="007F7B17">
      <w:pPr>
        <w:jc w:val="both"/>
        <w:rPr>
          <w:rFonts w:ascii="ING Me" w:hAnsi="ING Me"/>
          <w:sz w:val="18"/>
          <w:lang w:val="it-IT"/>
        </w:rPr>
      </w:pPr>
      <w:r w:rsidRPr="007F7B17">
        <w:rPr>
          <w:rFonts w:ascii="ING Me" w:hAnsi="ING Me"/>
          <w:sz w:val="18"/>
          <w:lang w:val="it-IT"/>
        </w:rPr>
        <w:t>ING è una banca di origine olandese presente in 40 Paesi con oltre 39 milioni di clienti e 57.000 dipendenti. Offre prodotti e servizi a risparmiatori, a grandi imprese e a istituzioni finanziarie. E’ tra le banche digitali leader in Italia per numero di clienti (1.203.000) ed è utilizzata tramite App da 7 clienti su 10 che ne apprezzano la semplicità e l’immediatezza dei servizi. Innovazione per offrire una customer-experience differenziante e attenzione alla sostenibilità sono due pilastri per ING, che destinerà 700 miliardi di euro di prestiti in ottica green. Completano il quadro solidità finanziaria (CET 1 ratio 1</w:t>
      </w:r>
      <w:r w:rsidR="003E6E01">
        <w:rPr>
          <w:rFonts w:ascii="ING Me" w:hAnsi="ING Me"/>
          <w:sz w:val="18"/>
          <w:lang w:val="it-IT"/>
        </w:rPr>
        <w:t>4</w:t>
      </w:r>
      <w:r w:rsidRPr="007F7B17">
        <w:rPr>
          <w:rFonts w:ascii="ING Me" w:hAnsi="ING Me"/>
          <w:sz w:val="18"/>
          <w:lang w:val="it-IT"/>
        </w:rPr>
        <w:t>,9% al 31/</w:t>
      </w:r>
      <w:r w:rsidR="003E6E01">
        <w:rPr>
          <w:rFonts w:ascii="ING Me" w:hAnsi="ING Me"/>
          <w:sz w:val="18"/>
          <w:lang w:val="it-IT"/>
        </w:rPr>
        <w:t>03</w:t>
      </w:r>
      <w:r w:rsidRPr="007F7B17">
        <w:rPr>
          <w:rFonts w:ascii="ING Me" w:hAnsi="ING Me"/>
          <w:sz w:val="18"/>
          <w:lang w:val="it-IT"/>
        </w:rPr>
        <w:t>/2</w:t>
      </w:r>
      <w:r w:rsidR="003E6E01">
        <w:rPr>
          <w:rFonts w:ascii="ING Me" w:hAnsi="ING Me"/>
          <w:sz w:val="18"/>
          <w:lang w:val="it-IT"/>
        </w:rPr>
        <w:t>2</w:t>
      </w:r>
      <w:r w:rsidRPr="007F7B17">
        <w:rPr>
          <w:rFonts w:ascii="ING Me" w:hAnsi="ING Me"/>
          <w:sz w:val="18"/>
          <w:lang w:val="it-IT"/>
        </w:rPr>
        <w:t>) e ottima qualità degli attivi (NPL ratio 1,</w:t>
      </w:r>
      <w:r w:rsidR="003E6E01">
        <w:rPr>
          <w:rFonts w:ascii="ING Me" w:hAnsi="ING Me"/>
          <w:sz w:val="18"/>
          <w:lang w:val="it-IT"/>
        </w:rPr>
        <w:t>4</w:t>
      </w:r>
      <w:r w:rsidRPr="007F7B17">
        <w:rPr>
          <w:rFonts w:ascii="ING Me" w:hAnsi="ING Me"/>
          <w:sz w:val="18"/>
          <w:lang w:val="it-IT"/>
        </w:rPr>
        <w:t>% al 31/</w:t>
      </w:r>
      <w:r w:rsidR="003E6E01">
        <w:rPr>
          <w:rFonts w:ascii="ING Me" w:hAnsi="ING Me"/>
          <w:sz w:val="18"/>
          <w:lang w:val="it-IT"/>
        </w:rPr>
        <w:t>03</w:t>
      </w:r>
      <w:r w:rsidRPr="007F7B17">
        <w:rPr>
          <w:rFonts w:ascii="ING Me" w:hAnsi="ING Me"/>
          <w:sz w:val="18"/>
          <w:lang w:val="it-IT"/>
        </w:rPr>
        <w:t>/2</w:t>
      </w:r>
      <w:r w:rsidR="003E6E01">
        <w:rPr>
          <w:rFonts w:ascii="ING Me" w:hAnsi="ING Me"/>
          <w:sz w:val="18"/>
          <w:lang w:val="it-IT"/>
        </w:rPr>
        <w:t>2</w:t>
      </w:r>
      <w:r w:rsidRPr="007F7B17">
        <w:rPr>
          <w:rFonts w:ascii="ING Me" w:hAnsi="ING Me"/>
          <w:sz w:val="18"/>
          <w:lang w:val="it-IT"/>
        </w:rPr>
        <w:t>).</w:t>
      </w:r>
    </w:p>
    <w:p w14:paraId="1388182C" w14:textId="77777777" w:rsidR="00E154E2" w:rsidRPr="0068576B" w:rsidRDefault="00E154E2" w:rsidP="00491A1A">
      <w:pPr>
        <w:pStyle w:val="Boilerplatehead"/>
        <w:spacing w:after="0" w:line="240" w:lineRule="auto"/>
        <w:jc w:val="both"/>
        <w:rPr>
          <w:rFonts w:ascii="ING Me" w:hAnsi="ING Me"/>
          <w:color w:val="auto"/>
          <w:sz w:val="18"/>
          <w:lang w:val="it-IT"/>
        </w:rPr>
      </w:pPr>
    </w:p>
    <w:p w14:paraId="096D6E29" w14:textId="77777777" w:rsidR="00E154E2" w:rsidRPr="0068576B" w:rsidRDefault="00E154E2" w:rsidP="00491A1A">
      <w:pPr>
        <w:spacing w:line="276" w:lineRule="auto"/>
        <w:ind w:right="-83"/>
        <w:jc w:val="both"/>
        <w:rPr>
          <w:rStyle w:val="Collegamentoipertestuale"/>
          <w:rFonts w:ascii="ING Me" w:hAnsi="ING Me"/>
          <w:b/>
          <w:sz w:val="18"/>
          <w:lang w:val="en-GB"/>
        </w:rPr>
      </w:pPr>
      <w:r w:rsidRPr="0068576B">
        <w:rPr>
          <w:rFonts w:ascii="ING Me" w:hAnsi="ING Me"/>
          <w:b/>
          <w:sz w:val="18"/>
        </w:rPr>
        <w:t xml:space="preserve">Facebook: </w:t>
      </w:r>
      <w:hyperlink r:id="rId12" w:history="1">
        <w:r w:rsidRPr="0068576B">
          <w:rPr>
            <w:rStyle w:val="Collegamentoipertestuale"/>
            <w:rFonts w:ascii="ING Me" w:hAnsi="ING Me"/>
            <w:sz w:val="18"/>
          </w:rPr>
          <w:t>https://www.facebook.com/INGItalia/</w:t>
        </w:r>
      </w:hyperlink>
      <w:r w:rsidRPr="0068576B">
        <w:rPr>
          <w:rStyle w:val="Collegamentoipertestuale"/>
          <w:rFonts w:ascii="ING Me" w:hAnsi="ING Me"/>
          <w:sz w:val="18"/>
        </w:rPr>
        <w:t xml:space="preserve"> - </w:t>
      </w:r>
    </w:p>
    <w:p w14:paraId="4627BF89" w14:textId="77777777" w:rsidR="00E154E2" w:rsidRPr="0068576B" w:rsidRDefault="00E154E2" w:rsidP="00491A1A">
      <w:pPr>
        <w:spacing w:line="276" w:lineRule="auto"/>
        <w:ind w:right="-83"/>
        <w:jc w:val="both"/>
        <w:rPr>
          <w:rStyle w:val="Collegamentoipertestuale"/>
          <w:rFonts w:ascii="ING Me" w:hAnsi="ING Me"/>
          <w:sz w:val="18"/>
        </w:rPr>
      </w:pPr>
      <w:r w:rsidRPr="0068576B">
        <w:rPr>
          <w:rFonts w:ascii="ING Me" w:hAnsi="ING Me"/>
          <w:b/>
          <w:sz w:val="18"/>
        </w:rPr>
        <w:t xml:space="preserve">Twitter: </w:t>
      </w:r>
      <w:hyperlink r:id="rId13" w:history="1">
        <w:r w:rsidRPr="0068576B">
          <w:rPr>
            <w:rStyle w:val="Collegamentoipertestuale"/>
            <w:rFonts w:ascii="ING Me" w:hAnsi="ING Me"/>
            <w:sz w:val="18"/>
          </w:rPr>
          <w:t>https://twitter.com/INGItalia</w:t>
        </w:r>
      </w:hyperlink>
      <w:r w:rsidRPr="0068576B">
        <w:rPr>
          <w:rStyle w:val="Collegamentoipertestuale"/>
          <w:rFonts w:ascii="ING Me" w:hAnsi="ING Me"/>
          <w:sz w:val="18"/>
        </w:rPr>
        <w:t xml:space="preserve"> - </w:t>
      </w:r>
    </w:p>
    <w:p w14:paraId="7DEBBDC9" w14:textId="77777777" w:rsidR="00E154E2" w:rsidRPr="0068576B" w:rsidRDefault="00E154E2" w:rsidP="00D778C0">
      <w:pPr>
        <w:spacing w:line="276" w:lineRule="auto"/>
        <w:ind w:right="-83"/>
        <w:jc w:val="both"/>
        <w:rPr>
          <w:rFonts w:ascii="ING Me" w:hAnsi="ING Me"/>
          <w:lang w:val="de-DE"/>
        </w:rPr>
      </w:pPr>
      <w:proofErr w:type="spellStart"/>
      <w:r w:rsidRPr="0068576B">
        <w:rPr>
          <w:rFonts w:ascii="ING Me" w:hAnsi="ING Me"/>
          <w:b/>
          <w:sz w:val="18"/>
          <w:lang w:val="de-DE"/>
        </w:rPr>
        <w:t>Linkedin</w:t>
      </w:r>
      <w:proofErr w:type="spellEnd"/>
      <w:r w:rsidRPr="0068576B">
        <w:rPr>
          <w:rFonts w:ascii="ING Me" w:hAnsi="ING Me"/>
          <w:b/>
          <w:sz w:val="18"/>
          <w:lang w:val="de-DE"/>
        </w:rPr>
        <w:t xml:space="preserve">: </w:t>
      </w:r>
      <w:hyperlink r:id="rId14" w:history="1">
        <w:r w:rsidRPr="0068576B">
          <w:rPr>
            <w:rStyle w:val="Collegamentoipertestuale"/>
            <w:rFonts w:ascii="ING Me" w:hAnsi="ING Me"/>
            <w:sz w:val="18"/>
            <w:lang w:val="de-DE"/>
          </w:rPr>
          <w:t>https://www.linkedin.com/company/ing-italia/</w:t>
        </w:r>
      </w:hyperlink>
    </w:p>
    <w:p w14:paraId="52562F80" w14:textId="2AAED649" w:rsidR="002B0F22" w:rsidRPr="0068576B" w:rsidRDefault="002B0F22" w:rsidP="00D778C0">
      <w:pPr>
        <w:jc w:val="both"/>
        <w:rPr>
          <w:rFonts w:ascii="ING Me" w:hAnsi="ING Me"/>
          <w:lang w:val="de-DE"/>
        </w:rPr>
      </w:pPr>
    </w:p>
    <w:p w14:paraId="2E012AC3" w14:textId="2493C118" w:rsidR="00E154E2" w:rsidRPr="003A60AE" w:rsidRDefault="00E154E2" w:rsidP="00491A1A">
      <w:pPr>
        <w:jc w:val="both"/>
        <w:rPr>
          <w:rFonts w:ascii="ING Me" w:hAnsi="ING Me"/>
          <w:sz w:val="18"/>
        </w:rPr>
      </w:pPr>
    </w:p>
    <w:sectPr w:rsidR="00E154E2" w:rsidRPr="003A60AE" w:rsidSect="00562679">
      <w:head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85C8" w14:textId="77777777" w:rsidR="002754D8" w:rsidRDefault="002754D8" w:rsidP="00885FF8">
      <w:r>
        <w:separator/>
      </w:r>
    </w:p>
  </w:endnote>
  <w:endnote w:type="continuationSeparator" w:id="0">
    <w:p w14:paraId="2970B62B" w14:textId="77777777" w:rsidR="002754D8" w:rsidRDefault="002754D8" w:rsidP="00885FF8">
      <w:r>
        <w:continuationSeparator/>
      </w:r>
    </w:p>
  </w:endnote>
  <w:endnote w:type="continuationNotice" w:id="1">
    <w:p w14:paraId="5750AED9" w14:textId="77777777" w:rsidR="002754D8" w:rsidRDefault="0027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G Me">
    <w:altName w:val="Calibri"/>
    <w:panose1 w:val="02000506040000020004"/>
    <w:charset w:val="00"/>
    <w:family w:val="auto"/>
    <w:pitch w:val="variable"/>
    <w:sig w:usb0="A10002AF" w:usb1="5000607A" w:usb2="00000000" w:usb3="00000000" w:csb0="0000019F" w:csb1="00000000"/>
  </w:font>
  <w:font w:name="Arial">
    <w:panose1 w:val="020B0604020202020204"/>
    <w:charset w:val="00"/>
    <w:family w:val="swiss"/>
    <w:pitch w:val="variable"/>
    <w:sig w:usb0="E0002EFF" w:usb1="C000785B" w:usb2="00000009" w:usb3="00000000" w:csb0="000001FF" w:csb1="00000000"/>
  </w:font>
  <w:font w:name="Ubuntu Light">
    <w:altName w:val="Segoe Script"/>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2958" w14:textId="77777777" w:rsidR="002754D8" w:rsidRDefault="002754D8" w:rsidP="00885FF8">
      <w:r>
        <w:separator/>
      </w:r>
    </w:p>
  </w:footnote>
  <w:footnote w:type="continuationSeparator" w:id="0">
    <w:p w14:paraId="6CE6C931" w14:textId="77777777" w:rsidR="002754D8" w:rsidRDefault="002754D8" w:rsidP="00885FF8">
      <w:r>
        <w:continuationSeparator/>
      </w:r>
    </w:p>
  </w:footnote>
  <w:footnote w:type="continuationNotice" w:id="1">
    <w:p w14:paraId="4E4E0163" w14:textId="77777777" w:rsidR="002754D8" w:rsidRDefault="0027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6" w:type="pct"/>
      <w:tblCellMar>
        <w:left w:w="0" w:type="dxa"/>
        <w:right w:w="0" w:type="dxa"/>
      </w:tblCellMar>
      <w:tblLook w:val="01E0" w:firstRow="1" w:lastRow="1" w:firstColumn="1" w:lastColumn="1" w:noHBand="0" w:noVBand="0"/>
    </w:tblPr>
    <w:tblGrid>
      <w:gridCol w:w="6944"/>
      <w:gridCol w:w="215"/>
      <w:gridCol w:w="2231"/>
    </w:tblGrid>
    <w:tr w:rsidR="007F7B17" w14:paraId="137BFD7F" w14:textId="77777777" w:rsidTr="007F7B17">
      <w:trPr>
        <w:trHeight w:val="734"/>
      </w:trPr>
      <w:tc>
        <w:tcPr>
          <w:tcW w:w="6572" w:type="dxa"/>
          <w:tcMar>
            <w:top w:w="0" w:type="dxa"/>
            <w:left w:w="0" w:type="dxa"/>
            <w:bottom w:w="76" w:type="dxa"/>
            <w:right w:w="0" w:type="dxa"/>
          </w:tcMar>
          <w:hideMark/>
        </w:tcPr>
        <w:p w14:paraId="32439B60" w14:textId="39C60EDE" w:rsidR="007F7B17" w:rsidRDefault="007F7B17" w:rsidP="007F7B17">
          <w:pPr>
            <w:spacing w:line="360" w:lineRule="exact"/>
            <w:rPr>
              <w:b/>
            </w:rPr>
          </w:pPr>
          <w:r>
            <w:rPr>
              <w:noProof/>
            </w:rPr>
            <w:drawing>
              <wp:anchor distT="0" distB="0" distL="114300" distR="114300" simplePos="0" relativeHeight="251659264" behindDoc="1" locked="0" layoutInCell="1" allowOverlap="1" wp14:anchorId="3FC27718" wp14:editId="0F548D86">
                <wp:simplePos x="0" y="0"/>
                <wp:positionH relativeFrom="column">
                  <wp:posOffset>-1270</wp:posOffset>
                </wp:positionH>
                <wp:positionV relativeFrom="paragraph">
                  <wp:posOffset>10795</wp:posOffset>
                </wp:positionV>
                <wp:extent cx="1216660" cy="302895"/>
                <wp:effectExtent l="0" t="0" r="254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302895"/>
                        </a:xfrm>
                        <a:prstGeom prst="rect">
                          <a:avLst/>
                        </a:prstGeom>
                        <a:noFill/>
                      </pic:spPr>
                    </pic:pic>
                  </a:graphicData>
                </a:graphic>
                <wp14:sizeRelH relativeFrom="page">
                  <wp14:pctWidth>0</wp14:pctWidth>
                </wp14:sizeRelH>
                <wp14:sizeRelV relativeFrom="page">
                  <wp14:pctHeight>0</wp14:pctHeight>
                </wp14:sizeRelV>
              </wp:anchor>
            </w:drawing>
          </w:r>
        </w:p>
      </w:tc>
      <w:tc>
        <w:tcPr>
          <w:tcW w:w="203" w:type="dxa"/>
          <w:vAlign w:val="center"/>
          <w:hideMark/>
        </w:tcPr>
        <w:p w14:paraId="66AC8438" w14:textId="5A1CDA8D" w:rsidR="007F7B17" w:rsidRDefault="007F7B17" w:rsidP="007F7B17">
          <w:pPr>
            <w:spacing w:line="360" w:lineRule="exact"/>
            <w:ind w:left="-286"/>
            <w:rPr>
              <w:b/>
            </w:rPr>
          </w:pPr>
          <w:r>
            <w:rPr>
              <w:noProof/>
            </w:rPr>
            <mc:AlternateContent>
              <mc:Choice Requires="wps">
                <w:drawing>
                  <wp:anchor distT="0" distB="0" distL="114300" distR="114300" simplePos="0" relativeHeight="251660288" behindDoc="1" locked="0" layoutInCell="1" allowOverlap="1" wp14:anchorId="225F9762" wp14:editId="2F3D34BC">
                    <wp:simplePos x="0" y="0"/>
                    <wp:positionH relativeFrom="column">
                      <wp:posOffset>73025</wp:posOffset>
                    </wp:positionH>
                    <wp:positionV relativeFrom="paragraph">
                      <wp:posOffset>-15875</wp:posOffset>
                    </wp:positionV>
                    <wp:extent cx="2303145" cy="269240"/>
                    <wp:effectExtent l="0" t="0" r="1905" b="0"/>
                    <wp:wrapNone/>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wps:spPr>
                          <wps:txbx>
                            <w:txbxContent>
                              <w:p w14:paraId="483F3EE7" w14:textId="77777777" w:rsidR="007F7B17" w:rsidRDefault="007F7B17" w:rsidP="007F7B17">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F9762" id="Figura a mano libera: forma 1" o:spid="_x0000_s1026" style="position:absolute;left:0;text-align:left;margin-left:5.75pt;margin-top:-1.25pt;width:181.3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" adj="-11796480,,5400" path="m24,c24,,,,,24,,60,,60,,60v,,,24,24,24c724,84,724,84,724,84,724,,724,,724,l24,xe" fillcolor="#ff6200" stroked="f">
                    <v:stroke joinstyle="miter"/>
                    <v:formulas/>
                    <v:path arrowok="t" o:connecttype="custom" o:connectlocs="76347,0;0,76926;0,192314;76347,269240;2303145,269240;2303145,0;76347,0" o:connectangles="0,0,0,0,0,0,0" textboxrect="0,0,724,84"/>
                    <v:textbox>
                      <w:txbxContent>
                        <w:p w14:paraId="483F3EE7" w14:textId="77777777" w:rsidR="007F7B17" w:rsidRDefault="007F7B17" w:rsidP="007F7B17">
                          <w:pPr>
                            <w:jc w:val="center"/>
                          </w:pPr>
                        </w:p>
                      </w:txbxContent>
                    </v:textbox>
                  </v:shape>
                </w:pict>
              </mc:Fallback>
            </mc:AlternateContent>
          </w:r>
        </w:p>
      </w:tc>
      <w:tc>
        <w:tcPr>
          <w:tcW w:w="2111" w:type="dxa"/>
          <w:vAlign w:val="center"/>
          <w:hideMark/>
        </w:tcPr>
        <w:p w14:paraId="03594A17" w14:textId="77777777" w:rsidR="007F7B17" w:rsidRDefault="007F7B17" w:rsidP="007F7B17">
          <w:pPr>
            <w:spacing w:line="360" w:lineRule="exact"/>
            <w:rPr>
              <w:rFonts w:ascii="ING Me" w:hAnsi="ING Me" w:cs="Arial"/>
              <w:b/>
              <w:color w:val="FFFFFF" w:themeColor="background1"/>
            </w:rPr>
          </w:pPr>
          <w:proofErr w:type="spellStart"/>
          <w:r>
            <w:rPr>
              <w:rFonts w:ascii="ING Me" w:hAnsi="ING Me" w:cs="Arial"/>
              <w:b/>
              <w:color w:val="FFFFFF" w:themeColor="background1"/>
            </w:rPr>
            <w:t>Comunicato</w:t>
          </w:r>
          <w:proofErr w:type="spellEnd"/>
          <w:r>
            <w:rPr>
              <w:rFonts w:ascii="ING Me" w:hAnsi="ING Me" w:cs="Arial"/>
              <w:b/>
              <w:color w:val="FFFFFF" w:themeColor="background1"/>
            </w:rPr>
            <w:t xml:space="preserve"> </w:t>
          </w:r>
          <w:proofErr w:type="spellStart"/>
          <w:r>
            <w:rPr>
              <w:rFonts w:ascii="ING Me" w:hAnsi="ING Me" w:cs="Arial"/>
              <w:b/>
              <w:color w:val="FFFFFF" w:themeColor="background1"/>
            </w:rPr>
            <w:t>stampa</w:t>
          </w:r>
          <w:proofErr w:type="spellEnd"/>
        </w:p>
      </w:tc>
    </w:tr>
  </w:tbl>
  <w:p w14:paraId="41A204D7" w14:textId="77777777" w:rsidR="007F7B17" w:rsidRDefault="007F7B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7F"/>
    <w:multiLevelType w:val="hybridMultilevel"/>
    <w:tmpl w:val="B89483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53ED3"/>
    <w:multiLevelType w:val="hybridMultilevel"/>
    <w:tmpl w:val="3D9017F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493A"/>
    <w:multiLevelType w:val="hybridMultilevel"/>
    <w:tmpl w:val="E7FEB4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48F6544"/>
    <w:multiLevelType w:val="hybridMultilevel"/>
    <w:tmpl w:val="78E8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FF491B"/>
    <w:multiLevelType w:val="hybridMultilevel"/>
    <w:tmpl w:val="8F38F6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7B21400"/>
    <w:multiLevelType w:val="hybridMultilevel"/>
    <w:tmpl w:val="E6002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983B0F"/>
    <w:multiLevelType w:val="hybridMultilevel"/>
    <w:tmpl w:val="DD1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55CDE"/>
    <w:multiLevelType w:val="hybridMultilevel"/>
    <w:tmpl w:val="D0F873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EEF194B"/>
    <w:multiLevelType w:val="hybridMultilevel"/>
    <w:tmpl w:val="0FF6A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2924AC"/>
    <w:multiLevelType w:val="hybridMultilevel"/>
    <w:tmpl w:val="211EE8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68E7696"/>
    <w:multiLevelType w:val="hybridMultilevel"/>
    <w:tmpl w:val="6FAC75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1404F"/>
    <w:multiLevelType w:val="hybridMultilevel"/>
    <w:tmpl w:val="D00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C501C"/>
    <w:multiLevelType w:val="hybridMultilevel"/>
    <w:tmpl w:val="1486C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490658"/>
    <w:multiLevelType w:val="hybridMultilevel"/>
    <w:tmpl w:val="21F6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1E4B69"/>
    <w:multiLevelType w:val="hybridMultilevel"/>
    <w:tmpl w:val="F992F3BA"/>
    <w:lvl w:ilvl="0" w:tplc="A7C26310">
      <w:start w:val="17"/>
      <w:numFmt w:val="bullet"/>
      <w:lvlText w:val="-"/>
      <w:lvlJc w:val="left"/>
      <w:pPr>
        <w:ind w:left="1080" w:hanging="360"/>
      </w:pPr>
      <w:rPr>
        <w:rFonts w:ascii="ING Me" w:eastAsia="Times New Roman" w:hAnsi="ING Me"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5B66F9"/>
    <w:multiLevelType w:val="hybridMultilevel"/>
    <w:tmpl w:val="6C628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CA33DF"/>
    <w:multiLevelType w:val="hybridMultilevel"/>
    <w:tmpl w:val="82AE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C6FF8"/>
    <w:multiLevelType w:val="multilevel"/>
    <w:tmpl w:val="A23A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092130"/>
    <w:multiLevelType w:val="hybridMultilevel"/>
    <w:tmpl w:val="E8F22758"/>
    <w:lvl w:ilvl="0" w:tplc="0410000F">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9C1AEA"/>
    <w:multiLevelType w:val="hybridMultilevel"/>
    <w:tmpl w:val="B83A2C84"/>
    <w:lvl w:ilvl="0" w:tplc="CCCE6F34">
      <w:start w:val="17"/>
      <w:numFmt w:val="bullet"/>
      <w:lvlText w:val="-"/>
      <w:lvlJc w:val="left"/>
      <w:pPr>
        <w:ind w:left="720" w:hanging="360"/>
      </w:pPr>
      <w:rPr>
        <w:rFonts w:ascii="ING Me" w:eastAsia="Times New Roman" w:hAnsi="ING 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B7515"/>
    <w:multiLevelType w:val="hybridMultilevel"/>
    <w:tmpl w:val="E2BA8E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13F5548"/>
    <w:multiLevelType w:val="hybridMultilevel"/>
    <w:tmpl w:val="FF7C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E0E09"/>
    <w:multiLevelType w:val="hybridMultilevel"/>
    <w:tmpl w:val="8140FBF4"/>
    <w:lvl w:ilvl="0" w:tplc="64D4A8C8">
      <w:numFmt w:val="bullet"/>
      <w:lvlText w:val="-"/>
      <w:lvlJc w:val="left"/>
      <w:pPr>
        <w:ind w:left="720" w:hanging="360"/>
      </w:pPr>
      <w:rPr>
        <w:rFonts w:ascii="Ubuntu Light" w:eastAsia="SimSun" w:hAnsi="Ubuntu Ligh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0B6D44"/>
    <w:multiLevelType w:val="hybridMultilevel"/>
    <w:tmpl w:val="232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341BC"/>
    <w:multiLevelType w:val="hybridMultilevel"/>
    <w:tmpl w:val="19BA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521869">
    <w:abstractNumId w:val="7"/>
  </w:num>
  <w:num w:numId="2" w16cid:durableId="1779713906">
    <w:abstractNumId w:val="1"/>
  </w:num>
  <w:num w:numId="3" w16cid:durableId="1633250857">
    <w:abstractNumId w:val="11"/>
  </w:num>
  <w:num w:numId="4" w16cid:durableId="2059356090">
    <w:abstractNumId w:val="8"/>
  </w:num>
  <w:num w:numId="5" w16cid:durableId="308828163">
    <w:abstractNumId w:val="20"/>
  </w:num>
  <w:num w:numId="6" w16cid:durableId="1957638086">
    <w:abstractNumId w:val="9"/>
  </w:num>
  <w:num w:numId="7" w16cid:durableId="145631105">
    <w:abstractNumId w:val="10"/>
  </w:num>
  <w:num w:numId="8" w16cid:durableId="290523053">
    <w:abstractNumId w:val="24"/>
  </w:num>
  <w:num w:numId="9" w16cid:durableId="896160908">
    <w:abstractNumId w:val="16"/>
  </w:num>
  <w:num w:numId="10" w16cid:durableId="1482386934">
    <w:abstractNumId w:val="6"/>
  </w:num>
  <w:num w:numId="11" w16cid:durableId="1212962001">
    <w:abstractNumId w:val="13"/>
  </w:num>
  <w:num w:numId="12" w16cid:durableId="1573078594">
    <w:abstractNumId w:val="22"/>
  </w:num>
  <w:num w:numId="13" w16cid:durableId="1595822535">
    <w:abstractNumId w:val="4"/>
  </w:num>
  <w:num w:numId="14" w16cid:durableId="1205412906">
    <w:abstractNumId w:val="2"/>
  </w:num>
  <w:num w:numId="15" w16cid:durableId="1082262894">
    <w:abstractNumId w:val="15"/>
  </w:num>
  <w:num w:numId="16" w16cid:durableId="164051256">
    <w:abstractNumId w:val="3"/>
  </w:num>
  <w:num w:numId="17" w16cid:durableId="191844997">
    <w:abstractNumId w:val="0"/>
  </w:num>
  <w:num w:numId="18" w16cid:durableId="2075351904">
    <w:abstractNumId w:val="19"/>
  </w:num>
  <w:num w:numId="19" w16cid:durableId="1853833303">
    <w:abstractNumId w:val="14"/>
  </w:num>
  <w:num w:numId="20" w16cid:durableId="2057578385">
    <w:abstractNumId w:val="18"/>
  </w:num>
  <w:num w:numId="21" w16cid:durableId="1571623355">
    <w:abstractNumId w:val="12"/>
  </w:num>
  <w:num w:numId="22" w16cid:durableId="697706448">
    <w:abstractNumId w:val="17"/>
  </w:num>
  <w:num w:numId="23" w16cid:durableId="733161634">
    <w:abstractNumId w:val="23"/>
  </w:num>
  <w:num w:numId="24" w16cid:durableId="30695565">
    <w:abstractNumId w:val="21"/>
  </w:num>
  <w:num w:numId="25" w16cid:durableId="672991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E2"/>
    <w:rsid w:val="000025E1"/>
    <w:rsid w:val="00005F2F"/>
    <w:rsid w:val="00007BB0"/>
    <w:rsid w:val="00010F54"/>
    <w:rsid w:val="00011E98"/>
    <w:rsid w:val="00011FED"/>
    <w:rsid w:val="00016257"/>
    <w:rsid w:val="00021219"/>
    <w:rsid w:val="00021223"/>
    <w:rsid w:val="00023067"/>
    <w:rsid w:val="0002382B"/>
    <w:rsid w:val="00024358"/>
    <w:rsid w:val="000273CD"/>
    <w:rsid w:val="00032048"/>
    <w:rsid w:val="00032F6B"/>
    <w:rsid w:val="00033EC0"/>
    <w:rsid w:val="00044015"/>
    <w:rsid w:val="000453F8"/>
    <w:rsid w:val="00046645"/>
    <w:rsid w:val="00054FC1"/>
    <w:rsid w:val="00056E48"/>
    <w:rsid w:val="000704CE"/>
    <w:rsid w:val="00070794"/>
    <w:rsid w:val="000708BF"/>
    <w:rsid w:val="00071A74"/>
    <w:rsid w:val="00071A9E"/>
    <w:rsid w:val="0007240A"/>
    <w:rsid w:val="00083037"/>
    <w:rsid w:val="0008471E"/>
    <w:rsid w:val="000A0BFB"/>
    <w:rsid w:val="000A3E1B"/>
    <w:rsid w:val="000B0D20"/>
    <w:rsid w:val="000B204D"/>
    <w:rsid w:val="000B2770"/>
    <w:rsid w:val="000B700C"/>
    <w:rsid w:val="000C1D0B"/>
    <w:rsid w:val="000C1FDB"/>
    <w:rsid w:val="000C3CDD"/>
    <w:rsid w:val="000C4B85"/>
    <w:rsid w:val="000C60CB"/>
    <w:rsid w:val="000C761F"/>
    <w:rsid w:val="000D0D24"/>
    <w:rsid w:val="000D160E"/>
    <w:rsid w:val="000D23ED"/>
    <w:rsid w:val="000D3A06"/>
    <w:rsid w:val="000D3F54"/>
    <w:rsid w:val="000D7502"/>
    <w:rsid w:val="000E2DFB"/>
    <w:rsid w:val="000E606E"/>
    <w:rsid w:val="000F00F1"/>
    <w:rsid w:val="000F06E2"/>
    <w:rsid w:val="000F2ABE"/>
    <w:rsid w:val="000F5347"/>
    <w:rsid w:val="000F548B"/>
    <w:rsid w:val="000F5DBC"/>
    <w:rsid w:val="00100101"/>
    <w:rsid w:val="00102223"/>
    <w:rsid w:val="00102753"/>
    <w:rsid w:val="0010275A"/>
    <w:rsid w:val="001028C3"/>
    <w:rsid w:val="0010368E"/>
    <w:rsid w:val="0010383C"/>
    <w:rsid w:val="001039A6"/>
    <w:rsid w:val="00113C5B"/>
    <w:rsid w:val="00116B03"/>
    <w:rsid w:val="00122328"/>
    <w:rsid w:val="00132910"/>
    <w:rsid w:val="00136E2E"/>
    <w:rsid w:val="001412A4"/>
    <w:rsid w:val="00143909"/>
    <w:rsid w:val="0015025A"/>
    <w:rsid w:val="0015204D"/>
    <w:rsid w:val="00152A32"/>
    <w:rsid w:val="00152EEE"/>
    <w:rsid w:val="00153C1F"/>
    <w:rsid w:val="001641C4"/>
    <w:rsid w:val="001657B1"/>
    <w:rsid w:val="001674E8"/>
    <w:rsid w:val="00174FF3"/>
    <w:rsid w:val="00176194"/>
    <w:rsid w:val="001772D3"/>
    <w:rsid w:val="00177FE1"/>
    <w:rsid w:val="00183E85"/>
    <w:rsid w:val="00184366"/>
    <w:rsid w:val="00185549"/>
    <w:rsid w:val="0018608F"/>
    <w:rsid w:val="00187220"/>
    <w:rsid w:val="00191638"/>
    <w:rsid w:val="00195705"/>
    <w:rsid w:val="001967E7"/>
    <w:rsid w:val="00196855"/>
    <w:rsid w:val="001A25BE"/>
    <w:rsid w:val="001A5315"/>
    <w:rsid w:val="001C0C94"/>
    <w:rsid w:val="001C3E59"/>
    <w:rsid w:val="001C4DF6"/>
    <w:rsid w:val="001D1EFA"/>
    <w:rsid w:val="001D3068"/>
    <w:rsid w:val="001D3DC4"/>
    <w:rsid w:val="001D5D1C"/>
    <w:rsid w:val="001D6674"/>
    <w:rsid w:val="001E234B"/>
    <w:rsid w:val="001E38E1"/>
    <w:rsid w:val="001E4AD2"/>
    <w:rsid w:val="001F7530"/>
    <w:rsid w:val="002005BB"/>
    <w:rsid w:val="0020332A"/>
    <w:rsid w:val="0021362A"/>
    <w:rsid w:val="0021448B"/>
    <w:rsid w:val="00214FD2"/>
    <w:rsid w:val="002154AE"/>
    <w:rsid w:val="00216450"/>
    <w:rsid w:val="00216F67"/>
    <w:rsid w:val="0022581E"/>
    <w:rsid w:val="00235D2E"/>
    <w:rsid w:val="00242DCA"/>
    <w:rsid w:val="002533DF"/>
    <w:rsid w:val="0025603B"/>
    <w:rsid w:val="00256556"/>
    <w:rsid w:val="00257C24"/>
    <w:rsid w:val="0026360A"/>
    <w:rsid w:val="002641EC"/>
    <w:rsid w:val="00270979"/>
    <w:rsid w:val="002754D8"/>
    <w:rsid w:val="002757B2"/>
    <w:rsid w:val="00280A47"/>
    <w:rsid w:val="00283391"/>
    <w:rsid w:val="002855A8"/>
    <w:rsid w:val="00296F58"/>
    <w:rsid w:val="002A2069"/>
    <w:rsid w:val="002A4479"/>
    <w:rsid w:val="002B0F22"/>
    <w:rsid w:val="002B3625"/>
    <w:rsid w:val="002C3B75"/>
    <w:rsid w:val="002C5C6A"/>
    <w:rsid w:val="002C5DCE"/>
    <w:rsid w:val="002C62BC"/>
    <w:rsid w:val="002D3E36"/>
    <w:rsid w:val="002E03D9"/>
    <w:rsid w:val="002E1B97"/>
    <w:rsid w:val="002E3532"/>
    <w:rsid w:val="002E7DED"/>
    <w:rsid w:val="002F0BB2"/>
    <w:rsid w:val="002F1BD1"/>
    <w:rsid w:val="002F22A8"/>
    <w:rsid w:val="002F29A8"/>
    <w:rsid w:val="00300F78"/>
    <w:rsid w:val="0030641A"/>
    <w:rsid w:val="00307C23"/>
    <w:rsid w:val="00311BF2"/>
    <w:rsid w:val="00313706"/>
    <w:rsid w:val="003137DE"/>
    <w:rsid w:val="003179B3"/>
    <w:rsid w:val="0032035C"/>
    <w:rsid w:val="003241FA"/>
    <w:rsid w:val="00324BA6"/>
    <w:rsid w:val="00325BC5"/>
    <w:rsid w:val="003263B2"/>
    <w:rsid w:val="00332A0F"/>
    <w:rsid w:val="003331EB"/>
    <w:rsid w:val="00333AE0"/>
    <w:rsid w:val="003364D5"/>
    <w:rsid w:val="00337933"/>
    <w:rsid w:val="0034013F"/>
    <w:rsid w:val="003423AC"/>
    <w:rsid w:val="003424BA"/>
    <w:rsid w:val="0034600B"/>
    <w:rsid w:val="003463BC"/>
    <w:rsid w:val="003520C7"/>
    <w:rsid w:val="00352BED"/>
    <w:rsid w:val="00355CA5"/>
    <w:rsid w:val="0036132A"/>
    <w:rsid w:val="003634D8"/>
    <w:rsid w:val="00374A1B"/>
    <w:rsid w:val="0037556A"/>
    <w:rsid w:val="00377447"/>
    <w:rsid w:val="00377FB8"/>
    <w:rsid w:val="00383410"/>
    <w:rsid w:val="003844AB"/>
    <w:rsid w:val="003906CC"/>
    <w:rsid w:val="00391D0B"/>
    <w:rsid w:val="00393CA7"/>
    <w:rsid w:val="00396045"/>
    <w:rsid w:val="003A60AE"/>
    <w:rsid w:val="003A71F1"/>
    <w:rsid w:val="003A7708"/>
    <w:rsid w:val="003A79E0"/>
    <w:rsid w:val="003B3129"/>
    <w:rsid w:val="003B67DD"/>
    <w:rsid w:val="003B7C88"/>
    <w:rsid w:val="003C5C0D"/>
    <w:rsid w:val="003D28A7"/>
    <w:rsid w:val="003D407E"/>
    <w:rsid w:val="003D57D7"/>
    <w:rsid w:val="003D7192"/>
    <w:rsid w:val="003E080B"/>
    <w:rsid w:val="003E32CE"/>
    <w:rsid w:val="003E5272"/>
    <w:rsid w:val="003E6E01"/>
    <w:rsid w:val="003F1DBB"/>
    <w:rsid w:val="003F3238"/>
    <w:rsid w:val="003F6B26"/>
    <w:rsid w:val="003F783B"/>
    <w:rsid w:val="003F7B0B"/>
    <w:rsid w:val="0040159F"/>
    <w:rsid w:val="00401B00"/>
    <w:rsid w:val="00402B07"/>
    <w:rsid w:val="0040374D"/>
    <w:rsid w:val="00407BF6"/>
    <w:rsid w:val="00415665"/>
    <w:rsid w:val="004164CA"/>
    <w:rsid w:val="00416AB0"/>
    <w:rsid w:val="004315D2"/>
    <w:rsid w:val="0043325D"/>
    <w:rsid w:val="00433E46"/>
    <w:rsid w:val="00442733"/>
    <w:rsid w:val="00444BA2"/>
    <w:rsid w:val="00450895"/>
    <w:rsid w:val="004525A2"/>
    <w:rsid w:val="004535E7"/>
    <w:rsid w:val="0045370B"/>
    <w:rsid w:val="004606D3"/>
    <w:rsid w:val="00462110"/>
    <w:rsid w:val="00462C7D"/>
    <w:rsid w:val="0046584D"/>
    <w:rsid w:val="00474402"/>
    <w:rsid w:val="00474FE5"/>
    <w:rsid w:val="004808C4"/>
    <w:rsid w:val="00481935"/>
    <w:rsid w:val="0048272F"/>
    <w:rsid w:val="004848DA"/>
    <w:rsid w:val="00487161"/>
    <w:rsid w:val="00487233"/>
    <w:rsid w:val="00487436"/>
    <w:rsid w:val="004876EA"/>
    <w:rsid w:val="00491238"/>
    <w:rsid w:val="00491523"/>
    <w:rsid w:val="00491A1A"/>
    <w:rsid w:val="004A1351"/>
    <w:rsid w:val="004A46D2"/>
    <w:rsid w:val="004A4939"/>
    <w:rsid w:val="004B0E19"/>
    <w:rsid w:val="004B160E"/>
    <w:rsid w:val="004B4AB1"/>
    <w:rsid w:val="004B66FD"/>
    <w:rsid w:val="004C07C9"/>
    <w:rsid w:val="004C23D6"/>
    <w:rsid w:val="004C51C3"/>
    <w:rsid w:val="004C63FA"/>
    <w:rsid w:val="004C74D9"/>
    <w:rsid w:val="004E551F"/>
    <w:rsid w:val="004E5AA3"/>
    <w:rsid w:val="004E6C67"/>
    <w:rsid w:val="004E73F0"/>
    <w:rsid w:val="00502097"/>
    <w:rsid w:val="00504ACC"/>
    <w:rsid w:val="005074E2"/>
    <w:rsid w:val="0050786A"/>
    <w:rsid w:val="0051050C"/>
    <w:rsid w:val="00512BB6"/>
    <w:rsid w:val="00514734"/>
    <w:rsid w:val="005200CF"/>
    <w:rsid w:val="005207DD"/>
    <w:rsid w:val="0052344B"/>
    <w:rsid w:val="0052506D"/>
    <w:rsid w:val="005279C5"/>
    <w:rsid w:val="005314D0"/>
    <w:rsid w:val="00533DD4"/>
    <w:rsid w:val="00537FA6"/>
    <w:rsid w:val="00541B1B"/>
    <w:rsid w:val="0054235B"/>
    <w:rsid w:val="00542FAD"/>
    <w:rsid w:val="00547BE4"/>
    <w:rsid w:val="00550877"/>
    <w:rsid w:val="00556E43"/>
    <w:rsid w:val="00560909"/>
    <w:rsid w:val="005609D3"/>
    <w:rsid w:val="00562679"/>
    <w:rsid w:val="00562BBC"/>
    <w:rsid w:val="00564AAF"/>
    <w:rsid w:val="00566B6A"/>
    <w:rsid w:val="005670AF"/>
    <w:rsid w:val="00571383"/>
    <w:rsid w:val="00575943"/>
    <w:rsid w:val="00577759"/>
    <w:rsid w:val="005777B1"/>
    <w:rsid w:val="00580B56"/>
    <w:rsid w:val="00583642"/>
    <w:rsid w:val="005901CF"/>
    <w:rsid w:val="00596E0B"/>
    <w:rsid w:val="005A223D"/>
    <w:rsid w:val="005A26DB"/>
    <w:rsid w:val="005A5E29"/>
    <w:rsid w:val="005A6738"/>
    <w:rsid w:val="005A7672"/>
    <w:rsid w:val="005B432B"/>
    <w:rsid w:val="005C0737"/>
    <w:rsid w:val="005C4DA2"/>
    <w:rsid w:val="005D24AB"/>
    <w:rsid w:val="005D25BF"/>
    <w:rsid w:val="005D756E"/>
    <w:rsid w:val="005E7630"/>
    <w:rsid w:val="005F16C6"/>
    <w:rsid w:val="005F20BF"/>
    <w:rsid w:val="005F358A"/>
    <w:rsid w:val="005F4D93"/>
    <w:rsid w:val="006014B5"/>
    <w:rsid w:val="00604264"/>
    <w:rsid w:val="0060508C"/>
    <w:rsid w:val="00607222"/>
    <w:rsid w:val="00610200"/>
    <w:rsid w:val="00614836"/>
    <w:rsid w:val="00614860"/>
    <w:rsid w:val="006150A8"/>
    <w:rsid w:val="00622C12"/>
    <w:rsid w:val="006301F6"/>
    <w:rsid w:val="006304F9"/>
    <w:rsid w:val="00631D34"/>
    <w:rsid w:val="00634E9E"/>
    <w:rsid w:val="006359D7"/>
    <w:rsid w:val="00637836"/>
    <w:rsid w:val="006405FE"/>
    <w:rsid w:val="0064317C"/>
    <w:rsid w:val="00646F7D"/>
    <w:rsid w:val="00651C37"/>
    <w:rsid w:val="00652126"/>
    <w:rsid w:val="00656C47"/>
    <w:rsid w:val="00661476"/>
    <w:rsid w:val="00661BBF"/>
    <w:rsid w:val="0066388E"/>
    <w:rsid w:val="00671703"/>
    <w:rsid w:val="00675AD5"/>
    <w:rsid w:val="0067731C"/>
    <w:rsid w:val="0068211A"/>
    <w:rsid w:val="0068576B"/>
    <w:rsid w:val="0069119D"/>
    <w:rsid w:val="006927A9"/>
    <w:rsid w:val="00692ED5"/>
    <w:rsid w:val="006943C0"/>
    <w:rsid w:val="00695439"/>
    <w:rsid w:val="006A5A09"/>
    <w:rsid w:val="006B07DC"/>
    <w:rsid w:val="006B0900"/>
    <w:rsid w:val="006B7139"/>
    <w:rsid w:val="006C1C70"/>
    <w:rsid w:val="006C2972"/>
    <w:rsid w:val="006C2F04"/>
    <w:rsid w:val="006C4519"/>
    <w:rsid w:val="006D1047"/>
    <w:rsid w:val="006D232F"/>
    <w:rsid w:val="006D2F7D"/>
    <w:rsid w:val="006D4C57"/>
    <w:rsid w:val="006E026E"/>
    <w:rsid w:val="006E6807"/>
    <w:rsid w:val="006E68E9"/>
    <w:rsid w:val="006F373C"/>
    <w:rsid w:val="006F614F"/>
    <w:rsid w:val="006F6220"/>
    <w:rsid w:val="00700182"/>
    <w:rsid w:val="007030A4"/>
    <w:rsid w:val="007041FC"/>
    <w:rsid w:val="007076E8"/>
    <w:rsid w:val="00713CFB"/>
    <w:rsid w:val="00714927"/>
    <w:rsid w:val="00716799"/>
    <w:rsid w:val="00716B60"/>
    <w:rsid w:val="00722C53"/>
    <w:rsid w:val="007230A8"/>
    <w:rsid w:val="007256DD"/>
    <w:rsid w:val="00727FEC"/>
    <w:rsid w:val="00733FE6"/>
    <w:rsid w:val="0073582D"/>
    <w:rsid w:val="007435D1"/>
    <w:rsid w:val="007449BF"/>
    <w:rsid w:val="007501F1"/>
    <w:rsid w:val="0075368F"/>
    <w:rsid w:val="007539D5"/>
    <w:rsid w:val="00755315"/>
    <w:rsid w:val="00755335"/>
    <w:rsid w:val="0075755F"/>
    <w:rsid w:val="0076089A"/>
    <w:rsid w:val="007614B1"/>
    <w:rsid w:val="0076391F"/>
    <w:rsid w:val="00763EA4"/>
    <w:rsid w:val="00767851"/>
    <w:rsid w:val="007701C6"/>
    <w:rsid w:val="007706B8"/>
    <w:rsid w:val="007719C0"/>
    <w:rsid w:val="00773E7C"/>
    <w:rsid w:val="00776CB0"/>
    <w:rsid w:val="007801A9"/>
    <w:rsid w:val="007846DF"/>
    <w:rsid w:val="007926C4"/>
    <w:rsid w:val="00793485"/>
    <w:rsid w:val="00795333"/>
    <w:rsid w:val="007A12A2"/>
    <w:rsid w:val="007A1B35"/>
    <w:rsid w:val="007A48F5"/>
    <w:rsid w:val="007B50B6"/>
    <w:rsid w:val="007B514C"/>
    <w:rsid w:val="007B7EF4"/>
    <w:rsid w:val="007C00B4"/>
    <w:rsid w:val="007C1147"/>
    <w:rsid w:val="007C2F51"/>
    <w:rsid w:val="007C37C9"/>
    <w:rsid w:val="007C5C4B"/>
    <w:rsid w:val="007C67B1"/>
    <w:rsid w:val="007D0EF9"/>
    <w:rsid w:val="007D2A24"/>
    <w:rsid w:val="007D7E3B"/>
    <w:rsid w:val="007F1F84"/>
    <w:rsid w:val="007F64CE"/>
    <w:rsid w:val="007F7B17"/>
    <w:rsid w:val="008005EA"/>
    <w:rsid w:val="008022E8"/>
    <w:rsid w:val="0080379F"/>
    <w:rsid w:val="00803AB3"/>
    <w:rsid w:val="0080567B"/>
    <w:rsid w:val="0081116D"/>
    <w:rsid w:val="00812F4E"/>
    <w:rsid w:val="00817514"/>
    <w:rsid w:val="008204F8"/>
    <w:rsid w:val="00823996"/>
    <w:rsid w:val="008264D4"/>
    <w:rsid w:val="00835FAB"/>
    <w:rsid w:val="008378C8"/>
    <w:rsid w:val="008416BE"/>
    <w:rsid w:val="00843BF9"/>
    <w:rsid w:val="008511CB"/>
    <w:rsid w:val="00856153"/>
    <w:rsid w:val="00861DFB"/>
    <w:rsid w:val="0086221A"/>
    <w:rsid w:val="00862E11"/>
    <w:rsid w:val="008656A1"/>
    <w:rsid w:val="00867A95"/>
    <w:rsid w:val="00867C71"/>
    <w:rsid w:val="008817EE"/>
    <w:rsid w:val="0088194E"/>
    <w:rsid w:val="0088403F"/>
    <w:rsid w:val="00885FF8"/>
    <w:rsid w:val="008908EB"/>
    <w:rsid w:val="00890D36"/>
    <w:rsid w:val="008947CE"/>
    <w:rsid w:val="00896FA0"/>
    <w:rsid w:val="008A4CAF"/>
    <w:rsid w:val="008A7FC5"/>
    <w:rsid w:val="008B53A8"/>
    <w:rsid w:val="008C0830"/>
    <w:rsid w:val="008C2035"/>
    <w:rsid w:val="008C285D"/>
    <w:rsid w:val="008C5CC8"/>
    <w:rsid w:val="008C5FFB"/>
    <w:rsid w:val="008C67DD"/>
    <w:rsid w:val="008C7215"/>
    <w:rsid w:val="008D1CD2"/>
    <w:rsid w:val="008D246A"/>
    <w:rsid w:val="008D4758"/>
    <w:rsid w:val="008D49AB"/>
    <w:rsid w:val="008D7A76"/>
    <w:rsid w:val="008D7AD7"/>
    <w:rsid w:val="008D7C24"/>
    <w:rsid w:val="008E058E"/>
    <w:rsid w:val="008E35E5"/>
    <w:rsid w:val="008E4C46"/>
    <w:rsid w:val="008F04A7"/>
    <w:rsid w:val="008F65AE"/>
    <w:rsid w:val="00900FD2"/>
    <w:rsid w:val="00904B70"/>
    <w:rsid w:val="009055EC"/>
    <w:rsid w:val="00905CF5"/>
    <w:rsid w:val="00905FC5"/>
    <w:rsid w:val="00910CDB"/>
    <w:rsid w:val="009154AD"/>
    <w:rsid w:val="009167FB"/>
    <w:rsid w:val="00916BAD"/>
    <w:rsid w:val="0092091B"/>
    <w:rsid w:val="009226CF"/>
    <w:rsid w:val="00923676"/>
    <w:rsid w:val="009240DD"/>
    <w:rsid w:val="009248C6"/>
    <w:rsid w:val="0092628E"/>
    <w:rsid w:val="009279EA"/>
    <w:rsid w:val="0093000D"/>
    <w:rsid w:val="00932B3B"/>
    <w:rsid w:val="00933D69"/>
    <w:rsid w:val="00940C6C"/>
    <w:rsid w:val="00941577"/>
    <w:rsid w:val="00944AE2"/>
    <w:rsid w:val="00945714"/>
    <w:rsid w:val="0095196F"/>
    <w:rsid w:val="009559EF"/>
    <w:rsid w:val="00962A2E"/>
    <w:rsid w:val="0096341A"/>
    <w:rsid w:val="00964442"/>
    <w:rsid w:val="0097350B"/>
    <w:rsid w:val="00976077"/>
    <w:rsid w:val="009768AD"/>
    <w:rsid w:val="00982D9F"/>
    <w:rsid w:val="00994B9F"/>
    <w:rsid w:val="00996A3D"/>
    <w:rsid w:val="00997933"/>
    <w:rsid w:val="009A063C"/>
    <w:rsid w:val="009A1B1C"/>
    <w:rsid w:val="009A2E1C"/>
    <w:rsid w:val="009A688B"/>
    <w:rsid w:val="009B0D9E"/>
    <w:rsid w:val="009B20F7"/>
    <w:rsid w:val="009B3847"/>
    <w:rsid w:val="009B522F"/>
    <w:rsid w:val="009B69CB"/>
    <w:rsid w:val="009C1ABE"/>
    <w:rsid w:val="009C559E"/>
    <w:rsid w:val="009C6235"/>
    <w:rsid w:val="009D3322"/>
    <w:rsid w:val="009E7B18"/>
    <w:rsid w:val="00A0053C"/>
    <w:rsid w:val="00A04726"/>
    <w:rsid w:val="00A06176"/>
    <w:rsid w:val="00A07593"/>
    <w:rsid w:val="00A1181F"/>
    <w:rsid w:val="00A147DC"/>
    <w:rsid w:val="00A17099"/>
    <w:rsid w:val="00A2361D"/>
    <w:rsid w:val="00A2764C"/>
    <w:rsid w:val="00A30F19"/>
    <w:rsid w:val="00A321BB"/>
    <w:rsid w:val="00A32B40"/>
    <w:rsid w:val="00A336EC"/>
    <w:rsid w:val="00A4074A"/>
    <w:rsid w:val="00A40A0E"/>
    <w:rsid w:val="00A41326"/>
    <w:rsid w:val="00A4310C"/>
    <w:rsid w:val="00A43B47"/>
    <w:rsid w:val="00A4411F"/>
    <w:rsid w:val="00A451DE"/>
    <w:rsid w:val="00A47699"/>
    <w:rsid w:val="00A5003F"/>
    <w:rsid w:val="00A576CB"/>
    <w:rsid w:val="00A650A8"/>
    <w:rsid w:val="00A7201F"/>
    <w:rsid w:val="00A73D35"/>
    <w:rsid w:val="00A81ACE"/>
    <w:rsid w:val="00A81F20"/>
    <w:rsid w:val="00A82B8C"/>
    <w:rsid w:val="00A8466A"/>
    <w:rsid w:val="00A96421"/>
    <w:rsid w:val="00A97FF5"/>
    <w:rsid w:val="00AA013C"/>
    <w:rsid w:val="00AB0B9E"/>
    <w:rsid w:val="00AB5533"/>
    <w:rsid w:val="00AB5E70"/>
    <w:rsid w:val="00AB66A3"/>
    <w:rsid w:val="00AB77CA"/>
    <w:rsid w:val="00AC1FE5"/>
    <w:rsid w:val="00AC604D"/>
    <w:rsid w:val="00AC6158"/>
    <w:rsid w:val="00AD0620"/>
    <w:rsid w:val="00AD260D"/>
    <w:rsid w:val="00AD554F"/>
    <w:rsid w:val="00AD6DC5"/>
    <w:rsid w:val="00AE2CA0"/>
    <w:rsid w:val="00AE6F7F"/>
    <w:rsid w:val="00AF2B83"/>
    <w:rsid w:val="00AF6074"/>
    <w:rsid w:val="00B031A4"/>
    <w:rsid w:val="00B03266"/>
    <w:rsid w:val="00B05A95"/>
    <w:rsid w:val="00B06842"/>
    <w:rsid w:val="00B07D44"/>
    <w:rsid w:val="00B10484"/>
    <w:rsid w:val="00B11BD0"/>
    <w:rsid w:val="00B124CC"/>
    <w:rsid w:val="00B13CE9"/>
    <w:rsid w:val="00B149C9"/>
    <w:rsid w:val="00B1715F"/>
    <w:rsid w:val="00B17F43"/>
    <w:rsid w:val="00B23C1C"/>
    <w:rsid w:val="00B30FA9"/>
    <w:rsid w:val="00B3202A"/>
    <w:rsid w:val="00B37D16"/>
    <w:rsid w:val="00B405EA"/>
    <w:rsid w:val="00B41870"/>
    <w:rsid w:val="00B45726"/>
    <w:rsid w:val="00B4588F"/>
    <w:rsid w:val="00B46254"/>
    <w:rsid w:val="00B4758D"/>
    <w:rsid w:val="00B51A66"/>
    <w:rsid w:val="00B5242C"/>
    <w:rsid w:val="00B539A1"/>
    <w:rsid w:val="00B562D9"/>
    <w:rsid w:val="00B61D32"/>
    <w:rsid w:val="00B67EAB"/>
    <w:rsid w:val="00B743E0"/>
    <w:rsid w:val="00B748C2"/>
    <w:rsid w:val="00B81931"/>
    <w:rsid w:val="00B83FB4"/>
    <w:rsid w:val="00B861CE"/>
    <w:rsid w:val="00B87046"/>
    <w:rsid w:val="00B8733A"/>
    <w:rsid w:val="00B91BAC"/>
    <w:rsid w:val="00B922DF"/>
    <w:rsid w:val="00BA0270"/>
    <w:rsid w:val="00BA33BD"/>
    <w:rsid w:val="00BA4A99"/>
    <w:rsid w:val="00BA5679"/>
    <w:rsid w:val="00BA6324"/>
    <w:rsid w:val="00BA6C86"/>
    <w:rsid w:val="00BB007C"/>
    <w:rsid w:val="00BB021B"/>
    <w:rsid w:val="00BB1056"/>
    <w:rsid w:val="00BB1435"/>
    <w:rsid w:val="00BB2074"/>
    <w:rsid w:val="00BC17CE"/>
    <w:rsid w:val="00BC2A1A"/>
    <w:rsid w:val="00BC34B2"/>
    <w:rsid w:val="00BD06C4"/>
    <w:rsid w:val="00BD2281"/>
    <w:rsid w:val="00BD625D"/>
    <w:rsid w:val="00BE51A8"/>
    <w:rsid w:val="00BE6B1D"/>
    <w:rsid w:val="00BF1678"/>
    <w:rsid w:val="00BF52D5"/>
    <w:rsid w:val="00BF5F54"/>
    <w:rsid w:val="00BF6B69"/>
    <w:rsid w:val="00C050AF"/>
    <w:rsid w:val="00C15041"/>
    <w:rsid w:val="00C16786"/>
    <w:rsid w:val="00C2192A"/>
    <w:rsid w:val="00C237E0"/>
    <w:rsid w:val="00C253C9"/>
    <w:rsid w:val="00C502F3"/>
    <w:rsid w:val="00C51870"/>
    <w:rsid w:val="00C569C2"/>
    <w:rsid w:val="00C60539"/>
    <w:rsid w:val="00C61596"/>
    <w:rsid w:val="00C643F9"/>
    <w:rsid w:val="00C71EDB"/>
    <w:rsid w:val="00C73376"/>
    <w:rsid w:val="00C762EF"/>
    <w:rsid w:val="00C77F51"/>
    <w:rsid w:val="00C800D6"/>
    <w:rsid w:val="00C818EE"/>
    <w:rsid w:val="00C8423A"/>
    <w:rsid w:val="00C84DB2"/>
    <w:rsid w:val="00C85FCA"/>
    <w:rsid w:val="00C954AD"/>
    <w:rsid w:val="00C955C7"/>
    <w:rsid w:val="00C95C58"/>
    <w:rsid w:val="00C97CEA"/>
    <w:rsid w:val="00CA455A"/>
    <w:rsid w:val="00CA6023"/>
    <w:rsid w:val="00CB05CC"/>
    <w:rsid w:val="00CB5D22"/>
    <w:rsid w:val="00CC001C"/>
    <w:rsid w:val="00CC0E47"/>
    <w:rsid w:val="00CC1475"/>
    <w:rsid w:val="00CC2133"/>
    <w:rsid w:val="00CC3715"/>
    <w:rsid w:val="00CD26A6"/>
    <w:rsid w:val="00CD446C"/>
    <w:rsid w:val="00CD455B"/>
    <w:rsid w:val="00CD73BC"/>
    <w:rsid w:val="00CF2177"/>
    <w:rsid w:val="00CF746E"/>
    <w:rsid w:val="00CF74D1"/>
    <w:rsid w:val="00CF7C80"/>
    <w:rsid w:val="00D01E4E"/>
    <w:rsid w:val="00D056FF"/>
    <w:rsid w:val="00D06755"/>
    <w:rsid w:val="00D13665"/>
    <w:rsid w:val="00D16E94"/>
    <w:rsid w:val="00D17EFF"/>
    <w:rsid w:val="00D2093B"/>
    <w:rsid w:val="00D23EEF"/>
    <w:rsid w:val="00D2465E"/>
    <w:rsid w:val="00D251BB"/>
    <w:rsid w:val="00D27C7E"/>
    <w:rsid w:val="00D3098B"/>
    <w:rsid w:val="00D34D6B"/>
    <w:rsid w:val="00D35341"/>
    <w:rsid w:val="00D36313"/>
    <w:rsid w:val="00D414D7"/>
    <w:rsid w:val="00D429B1"/>
    <w:rsid w:val="00D534EC"/>
    <w:rsid w:val="00D57ADD"/>
    <w:rsid w:val="00D62DC0"/>
    <w:rsid w:val="00D6362B"/>
    <w:rsid w:val="00D7011B"/>
    <w:rsid w:val="00D75776"/>
    <w:rsid w:val="00D7768F"/>
    <w:rsid w:val="00D778C0"/>
    <w:rsid w:val="00D77C77"/>
    <w:rsid w:val="00D80981"/>
    <w:rsid w:val="00D81157"/>
    <w:rsid w:val="00D86057"/>
    <w:rsid w:val="00D907CF"/>
    <w:rsid w:val="00D922B6"/>
    <w:rsid w:val="00D95B5E"/>
    <w:rsid w:val="00D97E27"/>
    <w:rsid w:val="00D97EAD"/>
    <w:rsid w:val="00DA0DE9"/>
    <w:rsid w:val="00DA2CBD"/>
    <w:rsid w:val="00DA37EB"/>
    <w:rsid w:val="00DA46B0"/>
    <w:rsid w:val="00DB1574"/>
    <w:rsid w:val="00DB1CF0"/>
    <w:rsid w:val="00DB42E1"/>
    <w:rsid w:val="00DB70B5"/>
    <w:rsid w:val="00DB7145"/>
    <w:rsid w:val="00DC1855"/>
    <w:rsid w:val="00DC7A4C"/>
    <w:rsid w:val="00DE0874"/>
    <w:rsid w:val="00DE4FAD"/>
    <w:rsid w:val="00DE7237"/>
    <w:rsid w:val="00DE76F8"/>
    <w:rsid w:val="00DF2E2F"/>
    <w:rsid w:val="00DF3025"/>
    <w:rsid w:val="00DF3532"/>
    <w:rsid w:val="00DF577B"/>
    <w:rsid w:val="00DF6989"/>
    <w:rsid w:val="00DF7D2D"/>
    <w:rsid w:val="00E001A3"/>
    <w:rsid w:val="00E02A8E"/>
    <w:rsid w:val="00E064BF"/>
    <w:rsid w:val="00E0710C"/>
    <w:rsid w:val="00E14D5E"/>
    <w:rsid w:val="00E154E2"/>
    <w:rsid w:val="00E2060C"/>
    <w:rsid w:val="00E24053"/>
    <w:rsid w:val="00E24C9D"/>
    <w:rsid w:val="00E27334"/>
    <w:rsid w:val="00E34D64"/>
    <w:rsid w:val="00E352DF"/>
    <w:rsid w:val="00E36E5E"/>
    <w:rsid w:val="00E461EF"/>
    <w:rsid w:val="00E51CEA"/>
    <w:rsid w:val="00E52F68"/>
    <w:rsid w:val="00E61B82"/>
    <w:rsid w:val="00E643D0"/>
    <w:rsid w:val="00E64CBA"/>
    <w:rsid w:val="00E669AC"/>
    <w:rsid w:val="00E671BF"/>
    <w:rsid w:val="00E7083A"/>
    <w:rsid w:val="00E70A12"/>
    <w:rsid w:val="00E73E3E"/>
    <w:rsid w:val="00E8749D"/>
    <w:rsid w:val="00E97950"/>
    <w:rsid w:val="00EA217C"/>
    <w:rsid w:val="00EB1EE3"/>
    <w:rsid w:val="00EB27AE"/>
    <w:rsid w:val="00EB49CB"/>
    <w:rsid w:val="00EB4E7C"/>
    <w:rsid w:val="00EB50FA"/>
    <w:rsid w:val="00EC1870"/>
    <w:rsid w:val="00EC24D2"/>
    <w:rsid w:val="00EC2771"/>
    <w:rsid w:val="00EC30A3"/>
    <w:rsid w:val="00EC4753"/>
    <w:rsid w:val="00ED3D5E"/>
    <w:rsid w:val="00EE3128"/>
    <w:rsid w:val="00EE6D74"/>
    <w:rsid w:val="00EF009A"/>
    <w:rsid w:val="00EF0121"/>
    <w:rsid w:val="00EF0554"/>
    <w:rsid w:val="00EF278B"/>
    <w:rsid w:val="00EF2CE3"/>
    <w:rsid w:val="00EF3940"/>
    <w:rsid w:val="00F0120B"/>
    <w:rsid w:val="00F022B1"/>
    <w:rsid w:val="00F05B1D"/>
    <w:rsid w:val="00F05F99"/>
    <w:rsid w:val="00F06193"/>
    <w:rsid w:val="00F06EA8"/>
    <w:rsid w:val="00F10208"/>
    <w:rsid w:val="00F133C6"/>
    <w:rsid w:val="00F2019F"/>
    <w:rsid w:val="00F231B3"/>
    <w:rsid w:val="00F23D46"/>
    <w:rsid w:val="00F33120"/>
    <w:rsid w:val="00F43AF6"/>
    <w:rsid w:val="00F52C11"/>
    <w:rsid w:val="00F53239"/>
    <w:rsid w:val="00F56248"/>
    <w:rsid w:val="00F60CEF"/>
    <w:rsid w:val="00F61CC9"/>
    <w:rsid w:val="00F61F6D"/>
    <w:rsid w:val="00F733F2"/>
    <w:rsid w:val="00F75A60"/>
    <w:rsid w:val="00F763EF"/>
    <w:rsid w:val="00F77ECF"/>
    <w:rsid w:val="00F814BC"/>
    <w:rsid w:val="00F91003"/>
    <w:rsid w:val="00F91756"/>
    <w:rsid w:val="00F92F41"/>
    <w:rsid w:val="00F96E44"/>
    <w:rsid w:val="00FA4DC4"/>
    <w:rsid w:val="00FA5B39"/>
    <w:rsid w:val="00FB1EF4"/>
    <w:rsid w:val="00FB1FEE"/>
    <w:rsid w:val="00FB5D05"/>
    <w:rsid w:val="00FC0B99"/>
    <w:rsid w:val="00FC4F9C"/>
    <w:rsid w:val="00FC610D"/>
    <w:rsid w:val="00FC6C4C"/>
    <w:rsid w:val="00FD1065"/>
    <w:rsid w:val="00FD1B33"/>
    <w:rsid w:val="00FD3AF4"/>
    <w:rsid w:val="00FD3AF5"/>
    <w:rsid w:val="00FD6FE9"/>
    <w:rsid w:val="00FE2925"/>
    <w:rsid w:val="00FE2F83"/>
    <w:rsid w:val="00FE2FC2"/>
    <w:rsid w:val="00FE3F13"/>
    <w:rsid w:val="00FF1378"/>
    <w:rsid w:val="00FF3826"/>
    <w:rsid w:val="00FF3B8C"/>
    <w:rsid w:val="00FF5430"/>
    <w:rsid w:val="00FF6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AE73A"/>
  <w15:chartTrackingRefBased/>
  <w15:docId w15:val="{70779329-6ED5-4A07-B754-E4E38EA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54E2"/>
    <w:pPr>
      <w:spacing w:after="0" w:line="240" w:lineRule="auto"/>
    </w:pPr>
    <w:rPr>
      <w:rFonts w:ascii="Calibri" w:hAnsi="Calibri" w:cs="Calibri"/>
      <w:lang w:val="en-US"/>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778C0"/>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Intestazione">
    <w:name w:val="header"/>
    <w:basedOn w:val="Normale"/>
    <w:link w:val="IntestazioneCarattere"/>
    <w:uiPriority w:val="99"/>
    <w:unhideWhenUsed/>
    <w:rsid w:val="00885FF8"/>
    <w:pPr>
      <w:tabs>
        <w:tab w:val="center" w:pos="4680"/>
        <w:tab w:val="right" w:pos="9360"/>
      </w:tabs>
    </w:pPr>
  </w:style>
  <w:style w:type="character" w:customStyle="1" w:styleId="IntestazioneCarattere">
    <w:name w:val="Intestazione Carattere"/>
    <w:basedOn w:val="Carpredefinitoparagrafo"/>
    <w:link w:val="Intestazione"/>
    <w:uiPriority w:val="99"/>
    <w:rsid w:val="00885FF8"/>
    <w:rPr>
      <w:sz w:val="20"/>
      <w:lang w:val="de-DE"/>
    </w:rPr>
  </w:style>
  <w:style w:type="paragraph" w:styleId="Pidipagina">
    <w:name w:val="footer"/>
    <w:basedOn w:val="Normale"/>
    <w:link w:val="PidipaginaCarattere"/>
    <w:uiPriority w:val="99"/>
    <w:unhideWhenUsed/>
    <w:rsid w:val="00885FF8"/>
    <w:pPr>
      <w:tabs>
        <w:tab w:val="center" w:pos="4680"/>
        <w:tab w:val="right" w:pos="9360"/>
      </w:tabs>
    </w:pPr>
  </w:style>
  <w:style w:type="character" w:customStyle="1" w:styleId="PidipaginaCarattere">
    <w:name w:val="Piè di pagina Carattere"/>
    <w:basedOn w:val="Carpredefinitoparagrafo"/>
    <w:link w:val="Pidipagina"/>
    <w:uiPriority w:val="99"/>
    <w:rsid w:val="00885FF8"/>
    <w:rPr>
      <w:sz w:val="20"/>
      <w:lang w:val="de-DE"/>
    </w:rPr>
  </w:style>
  <w:style w:type="character" w:styleId="Collegamentoipertestuale">
    <w:name w:val="Hyperlink"/>
    <w:basedOn w:val="Carpredefinitoparagrafo"/>
    <w:uiPriority w:val="99"/>
    <w:unhideWhenUsed/>
    <w:rsid w:val="00E154E2"/>
    <w:rPr>
      <w:color w:val="0563C1"/>
      <w:u w:val="single"/>
    </w:rPr>
  </w:style>
  <w:style w:type="paragraph" w:customStyle="1" w:styleId="Boilerplatehead">
    <w:name w:val="Boilerplate head"/>
    <w:rsid w:val="00E154E2"/>
    <w:pPr>
      <w:spacing w:after="60" w:line="180" w:lineRule="exact"/>
    </w:pPr>
    <w:rPr>
      <w:rFonts w:eastAsia="SimSun" w:cs="Times New Roman"/>
      <w:b/>
      <w:bCs/>
      <w:color w:val="2F2F2F"/>
      <w:sz w:val="16"/>
      <w:szCs w:val="24"/>
      <w:lang w:val="en-GB" w:eastAsia="nl-NL"/>
    </w:rPr>
  </w:style>
  <w:style w:type="paragraph" w:styleId="Paragrafoelenco">
    <w:name w:val="List Paragraph"/>
    <w:basedOn w:val="Normale"/>
    <w:link w:val="ParagrafoelencoCarattere"/>
    <w:uiPriority w:val="34"/>
    <w:qFormat/>
    <w:rsid w:val="00E154E2"/>
    <w:pPr>
      <w:ind w:left="720"/>
      <w:contextualSpacing/>
    </w:pPr>
  </w:style>
  <w:style w:type="character" w:customStyle="1" w:styleId="ParagrafoelencoCarattere">
    <w:name w:val="Paragrafo elenco Carattere"/>
    <w:basedOn w:val="Carpredefinitoparagrafo"/>
    <w:link w:val="Paragrafoelenco"/>
    <w:uiPriority w:val="34"/>
    <w:locked/>
    <w:rsid w:val="00E154E2"/>
    <w:rPr>
      <w:rFonts w:ascii="Calibri" w:hAnsi="Calibri" w:cs="Calibri"/>
      <w:lang w:val="en-US"/>
    </w:rPr>
  </w:style>
  <w:style w:type="character" w:styleId="Menzionenonrisolta">
    <w:name w:val="Unresolved Mention"/>
    <w:basedOn w:val="Carpredefinitoparagrafo"/>
    <w:uiPriority w:val="99"/>
    <w:semiHidden/>
    <w:unhideWhenUsed/>
    <w:rsid w:val="00E154E2"/>
    <w:rPr>
      <w:color w:val="605E5C"/>
      <w:shd w:val="clear" w:color="auto" w:fill="E1DFDD"/>
    </w:rPr>
  </w:style>
  <w:style w:type="paragraph" w:customStyle="1" w:styleId="Headingtop">
    <w:name w:val="Heading top"/>
    <w:basedOn w:val="HeadingDatum"/>
    <w:link w:val="HeadingtopChar"/>
    <w:autoRedefine/>
    <w:rsid w:val="00D778C0"/>
    <w:pPr>
      <w:ind w:left="270" w:hanging="90"/>
    </w:pPr>
    <w:rPr>
      <w:b/>
      <w:color w:val="999999" w:themeColor="text2"/>
    </w:rPr>
  </w:style>
  <w:style w:type="paragraph" w:customStyle="1" w:styleId="HeadingDatum">
    <w:name w:val="Heading Datum"/>
    <w:basedOn w:val="Normale"/>
    <w:qFormat/>
    <w:rsid w:val="00D778C0"/>
    <w:pPr>
      <w:spacing w:line="240" w:lineRule="exact"/>
    </w:pPr>
    <w:rPr>
      <w:rFonts w:asciiTheme="minorHAnsi" w:eastAsia="SimSun" w:hAnsiTheme="minorHAnsi" w:cs="Arial"/>
      <w:sz w:val="18"/>
      <w:szCs w:val="18"/>
      <w:lang w:val="en-GB" w:eastAsia="nl-NL"/>
    </w:rPr>
  </w:style>
  <w:style w:type="character" w:customStyle="1" w:styleId="HeadingtopChar">
    <w:name w:val="Heading top Char"/>
    <w:link w:val="Headingtop"/>
    <w:rsid w:val="00D778C0"/>
    <w:rPr>
      <w:rFonts w:eastAsia="SimSun" w:cs="Arial"/>
      <w:b/>
      <w:color w:val="999999" w:themeColor="text2"/>
      <w:sz w:val="18"/>
      <w:szCs w:val="18"/>
      <w:lang w:val="en-GB" w:eastAsia="nl-NL"/>
    </w:rPr>
  </w:style>
  <w:style w:type="character" w:customStyle="1" w:styleId="UnresolvedMention1">
    <w:name w:val="Unresolved Mention1"/>
    <w:basedOn w:val="Carpredefinitoparagrafo"/>
    <w:uiPriority w:val="99"/>
    <w:semiHidden/>
    <w:unhideWhenUsed/>
    <w:rsid w:val="00D778C0"/>
    <w:rPr>
      <w:color w:val="605E5C"/>
      <w:shd w:val="clear" w:color="auto" w:fill="E1DFDD"/>
    </w:rPr>
  </w:style>
  <w:style w:type="paragraph" w:customStyle="1" w:styleId="Default">
    <w:name w:val="Default"/>
    <w:rsid w:val="00D778C0"/>
    <w:pPr>
      <w:autoSpaceDE w:val="0"/>
      <w:autoSpaceDN w:val="0"/>
      <w:adjustRightInd w:val="0"/>
      <w:spacing w:after="0" w:line="240" w:lineRule="auto"/>
    </w:pPr>
    <w:rPr>
      <w:rFonts w:ascii="ING Me" w:hAnsi="ING Me" w:cs="ING Me"/>
      <w:color w:val="000000"/>
      <w:sz w:val="24"/>
      <w:szCs w:val="24"/>
    </w:rPr>
  </w:style>
  <w:style w:type="paragraph" w:styleId="Testonotaapidipagina">
    <w:name w:val="footnote text"/>
    <w:basedOn w:val="Normale"/>
    <w:link w:val="TestonotaapidipaginaCarattere"/>
    <w:uiPriority w:val="99"/>
    <w:semiHidden/>
    <w:unhideWhenUsed/>
    <w:rsid w:val="00D778C0"/>
    <w:rPr>
      <w:sz w:val="20"/>
      <w:szCs w:val="20"/>
    </w:rPr>
  </w:style>
  <w:style w:type="character" w:customStyle="1" w:styleId="TestonotaapidipaginaCarattere">
    <w:name w:val="Testo nota a piè di pagina Carattere"/>
    <w:basedOn w:val="Carpredefinitoparagrafo"/>
    <w:link w:val="Testonotaapidipagina"/>
    <w:uiPriority w:val="99"/>
    <w:semiHidden/>
    <w:rsid w:val="00D778C0"/>
    <w:rPr>
      <w:rFonts w:ascii="Calibri" w:hAnsi="Calibri" w:cs="Calibri"/>
      <w:sz w:val="20"/>
      <w:szCs w:val="20"/>
      <w:lang w:val="en-US"/>
    </w:rPr>
  </w:style>
  <w:style w:type="character" w:styleId="Rimandonotaapidipagina">
    <w:name w:val="footnote reference"/>
    <w:basedOn w:val="Carpredefinitoparagrafo"/>
    <w:uiPriority w:val="99"/>
    <w:semiHidden/>
    <w:unhideWhenUsed/>
    <w:rsid w:val="00D778C0"/>
    <w:rPr>
      <w:vertAlign w:val="superscript"/>
    </w:rPr>
  </w:style>
  <w:style w:type="character" w:styleId="Collegamentovisitato">
    <w:name w:val="FollowedHyperlink"/>
    <w:basedOn w:val="Carpredefinitoparagrafo"/>
    <w:uiPriority w:val="99"/>
    <w:semiHidden/>
    <w:unhideWhenUsed/>
    <w:rsid w:val="00D778C0"/>
    <w:rPr>
      <w:color w:val="000000" w:themeColor="followedHyperlink"/>
      <w:u w:val="single"/>
    </w:rPr>
  </w:style>
  <w:style w:type="paragraph" w:styleId="Testofumetto">
    <w:name w:val="Balloon Text"/>
    <w:basedOn w:val="Normale"/>
    <w:link w:val="TestofumettoCarattere"/>
    <w:uiPriority w:val="99"/>
    <w:semiHidden/>
    <w:unhideWhenUsed/>
    <w:rsid w:val="00D778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78C0"/>
    <w:rPr>
      <w:rFonts w:ascii="Segoe UI" w:hAnsi="Segoe UI" w:cs="Segoe UI"/>
      <w:sz w:val="18"/>
      <w:szCs w:val="18"/>
      <w:lang w:val="en-US"/>
    </w:rPr>
  </w:style>
  <w:style w:type="character" w:customStyle="1" w:styleId="Menzionenonrisolta1">
    <w:name w:val="Menzione non risolta1"/>
    <w:basedOn w:val="Carpredefinitoparagrafo"/>
    <w:uiPriority w:val="99"/>
    <w:semiHidden/>
    <w:unhideWhenUsed/>
    <w:rsid w:val="00D778C0"/>
    <w:rPr>
      <w:color w:val="605E5C"/>
      <w:shd w:val="clear" w:color="auto" w:fill="E1DFDD"/>
    </w:rPr>
  </w:style>
  <w:style w:type="character" w:styleId="Rimandocommento">
    <w:name w:val="annotation reference"/>
    <w:basedOn w:val="Carpredefinitoparagrafo"/>
    <w:uiPriority w:val="99"/>
    <w:semiHidden/>
    <w:unhideWhenUsed/>
    <w:rsid w:val="00D778C0"/>
    <w:rPr>
      <w:sz w:val="16"/>
      <w:szCs w:val="16"/>
    </w:rPr>
  </w:style>
  <w:style w:type="paragraph" w:styleId="Testocommento">
    <w:name w:val="annotation text"/>
    <w:basedOn w:val="Normale"/>
    <w:link w:val="TestocommentoCarattere"/>
    <w:uiPriority w:val="99"/>
    <w:unhideWhenUsed/>
    <w:rsid w:val="00D778C0"/>
    <w:rPr>
      <w:sz w:val="20"/>
      <w:szCs w:val="20"/>
    </w:rPr>
  </w:style>
  <w:style w:type="character" w:customStyle="1" w:styleId="TestocommentoCarattere">
    <w:name w:val="Testo commento Carattere"/>
    <w:basedOn w:val="Carpredefinitoparagrafo"/>
    <w:link w:val="Testocommento"/>
    <w:uiPriority w:val="99"/>
    <w:rsid w:val="00D778C0"/>
    <w:rPr>
      <w:rFonts w:ascii="Calibri" w:hAnsi="Calibri" w:cs="Calibri"/>
      <w:sz w:val="20"/>
      <w:szCs w:val="20"/>
      <w:lang w:val="en-US"/>
    </w:rPr>
  </w:style>
  <w:style w:type="paragraph" w:styleId="Soggettocommento">
    <w:name w:val="annotation subject"/>
    <w:basedOn w:val="Testocommento"/>
    <w:next w:val="Testocommento"/>
    <w:link w:val="SoggettocommentoCarattere"/>
    <w:uiPriority w:val="99"/>
    <w:semiHidden/>
    <w:unhideWhenUsed/>
    <w:rsid w:val="00D778C0"/>
    <w:rPr>
      <w:b/>
      <w:bCs/>
    </w:rPr>
  </w:style>
  <w:style w:type="character" w:customStyle="1" w:styleId="SoggettocommentoCarattere">
    <w:name w:val="Soggetto commento Carattere"/>
    <w:basedOn w:val="TestocommentoCarattere"/>
    <w:link w:val="Soggettocommento"/>
    <w:uiPriority w:val="99"/>
    <w:semiHidden/>
    <w:rsid w:val="00D778C0"/>
    <w:rPr>
      <w:rFonts w:ascii="Calibri" w:hAnsi="Calibri" w:cs="Calibri"/>
      <w:b/>
      <w:bCs/>
      <w:sz w:val="20"/>
      <w:szCs w:val="20"/>
      <w:lang w:val="en-US"/>
    </w:rPr>
  </w:style>
  <w:style w:type="paragraph" w:styleId="Revisione">
    <w:name w:val="Revision"/>
    <w:hidden/>
    <w:uiPriority w:val="99"/>
    <w:semiHidden/>
    <w:rsid w:val="00D778C0"/>
    <w:pPr>
      <w:spacing w:after="0" w:line="240" w:lineRule="auto"/>
    </w:pPr>
    <w:rPr>
      <w:rFonts w:ascii="Calibri" w:hAnsi="Calibri" w:cs="Calibri"/>
      <w:lang w:val="en-US"/>
    </w:rPr>
  </w:style>
  <w:style w:type="paragraph" w:styleId="NormaleWeb">
    <w:name w:val="Normal (Web)"/>
    <w:basedOn w:val="Normale"/>
    <w:uiPriority w:val="99"/>
    <w:semiHidden/>
    <w:unhideWhenUsed/>
    <w:rsid w:val="00D778C0"/>
    <w:pPr>
      <w:spacing w:before="100" w:beforeAutospacing="1" w:after="100" w:afterAutospacing="1"/>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D778C0"/>
    <w:rPr>
      <w:b/>
      <w:bCs/>
    </w:rPr>
  </w:style>
  <w:style w:type="paragraph" w:customStyle="1" w:styleId="xxxmsonormal">
    <w:name w:val="x_xxmsonormal"/>
    <w:basedOn w:val="Normale"/>
    <w:rsid w:val="00D778C0"/>
    <w:rPr>
      <w:rFonts w:cs="Times New Roman"/>
      <w:lang w:val="it-IT" w:eastAsia="it-IT"/>
    </w:rPr>
  </w:style>
  <w:style w:type="paragraph" w:customStyle="1" w:styleId="xl66">
    <w:name w:val="xl66"/>
    <w:basedOn w:val="Normale"/>
    <w:rsid w:val="00D778C0"/>
    <w:pPr>
      <w:spacing w:before="100" w:beforeAutospacing="1" w:after="100" w:afterAutospacing="1"/>
    </w:pPr>
    <w:rPr>
      <w:rFonts w:ascii="Arial" w:eastAsia="Times New Roman" w:hAnsi="Arial" w:cs="Arial"/>
      <w:sz w:val="32"/>
      <w:szCs w:val="32"/>
      <w:lang w:val="it-IT" w:eastAsia="it-IT"/>
    </w:rPr>
  </w:style>
  <w:style w:type="paragraph" w:customStyle="1" w:styleId="xl67">
    <w:name w:val="xl67"/>
    <w:basedOn w:val="Normale"/>
    <w:rsid w:val="00D778C0"/>
    <w:pPr>
      <w:spacing w:before="100" w:beforeAutospacing="1" w:after="100" w:afterAutospacing="1"/>
    </w:pPr>
    <w:rPr>
      <w:rFonts w:ascii="Arial" w:eastAsia="Times New Roman" w:hAnsi="Arial" w:cs="Arial"/>
      <w:sz w:val="24"/>
      <w:szCs w:val="24"/>
      <w:lang w:val="it-IT" w:eastAsia="it-IT"/>
    </w:rPr>
  </w:style>
  <w:style w:type="paragraph" w:customStyle="1" w:styleId="xl68">
    <w:name w:val="xl68"/>
    <w:basedOn w:val="Normale"/>
    <w:rsid w:val="00D778C0"/>
    <w:pPr>
      <w:spacing w:before="100" w:beforeAutospacing="1" w:after="100" w:afterAutospacing="1"/>
    </w:pPr>
    <w:rPr>
      <w:rFonts w:ascii="Arial" w:eastAsia="Times New Roman" w:hAnsi="Arial" w:cs="Arial"/>
      <w:sz w:val="24"/>
      <w:szCs w:val="24"/>
      <w:lang w:val="it-IT" w:eastAsia="it-IT"/>
    </w:rPr>
  </w:style>
  <w:style w:type="paragraph" w:customStyle="1" w:styleId="xl69">
    <w:name w:val="xl69"/>
    <w:basedOn w:val="Normale"/>
    <w:rsid w:val="00D778C0"/>
    <w:pPr>
      <w:spacing w:before="100" w:beforeAutospacing="1" w:after="100" w:afterAutospacing="1"/>
    </w:pPr>
    <w:rPr>
      <w:rFonts w:ascii="Arial" w:eastAsia="Times New Roman" w:hAnsi="Arial" w:cs="Arial"/>
      <w:color w:val="FF0000"/>
      <w:sz w:val="32"/>
      <w:szCs w:val="32"/>
      <w:lang w:val="it-IT" w:eastAsia="it-IT"/>
    </w:rPr>
  </w:style>
  <w:style w:type="paragraph" w:customStyle="1" w:styleId="xl70">
    <w:name w:val="xl70"/>
    <w:basedOn w:val="Normale"/>
    <w:rsid w:val="00D778C0"/>
    <w:pPr>
      <w:spacing w:before="100" w:beforeAutospacing="1" w:after="100" w:afterAutospacing="1"/>
    </w:pPr>
    <w:rPr>
      <w:rFonts w:ascii="Arial" w:eastAsia="Times New Roman" w:hAnsi="Arial" w:cs="Arial"/>
      <w:color w:val="FF0000"/>
      <w:sz w:val="32"/>
      <w:szCs w:val="32"/>
      <w:lang w:val="it-IT" w:eastAsia="it-IT"/>
    </w:rPr>
  </w:style>
  <w:style w:type="paragraph" w:customStyle="1" w:styleId="xl71">
    <w:name w:val="xl71"/>
    <w:basedOn w:val="Normale"/>
    <w:rsid w:val="00D778C0"/>
    <w:pPr>
      <w:spacing w:before="100" w:beforeAutospacing="1" w:after="100" w:afterAutospacing="1"/>
    </w:pPr>
    <w:rPr>
      <w:rFonts w:ascii="Arial" w:eastAsia="Times New Roman" w:hAnsi="Arial" w:cs="Arial"/>
      <w:color w:val="FF0000"/>
      <w:sz w:val="24"/>
      <w:szCs w:val="24"/>
      <w:lang w:val="it-IT" w:eastAsia="it-IT"/>
    </w:rPr>
  </w:style>
  <w:style w:type="paragraph" w:customStyle="1" w:styleId="xl72">
    <w:name w:val="xl72"/>
    <w:basedOn w:val="Normale"/>
    <w:rsid w:val="00D778C0"/>
    <w:pPr>
      <w:pBdr>
        <w:right w:val="single" w:sz="4" w:space="0" w:color="auto"/>
      </w:pBdr>
      <w:spacing w:before="100" w:beforeAutospacing="1" w:after="100" w:afterAutospacing="1"/>
    </w:pPr>
    <w:rPr>
      <w:rFonts w:ascii="Arial" w:eastAsia="Times New Roman" w:hAnsi="Arial" w:cs="Arial"/>
      <w:color w:val="FF0000"/>
      <w:sz w:val="24"/>
      <w:szCs w:val="24"/>
      <w:lang w:val="it-IT" w:eastAsia="it-IT"/>
    </w:rPr>
  </w:style>
  <w:style w:type="paragraph" w:customStyle="1" w:styleId="xl73">
    <w:name w:val="xl73"/>
    <w:basedOn w:val="Normale"/>
    <w:rsid w:val="00D778C0"/>
    <w:pPr>
      <w:pBdr>
        <w:left w:val="single" w:sz="4" w:space="0" w:color="auto"/>
      </w:pBdr>
      <w:spacing w:before="100" w:beforeAutospacing="1" w:after="100" w:afterAutospacing="1"/>
    </w:pPr>
    <w:rPr>
      <w:rFonts w:ascii="Arial" w:eastAsia="Times New Roman" w:hAnsi="Arial" w:cs="Arial"/>
      <w:sz w:val="24"/>
      <w:szCs w:val="24"/>
      <w:lang w:val="it-IT" w:eastAsia="it-IT"/>
    </w:rPr>
  </w:style>
  <w:style w:type="paragraph" w:customStyle="1" w:styleId="xl74">
    <w:name w:val="xl74"/>
    <w:basedOn w:val="Normale"/>
    <w:rsid w:val="00D778C0"/>
    <w:pPr>
      <w:pBdr>
        <w:top w:val="single" w:sz="8" w:space="0" w:color="auto"/>
        <w:left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75">
    <w:name w:val="xl75"/>
    <w:basedOn w:val="Normale"/>
    <w:rsid w:val="00D778C0"/>
    <w:pPr>
      <w:pBdr>
        <w:top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76">
    <w:name w:val="xl76"/>
    <w:basedOn w:val="Normale"/>
    <w:rsid w:val="00D778C0"/>
    <w:pPr>
      <w:pBdr>
        <w:top w:val="single" w:sz="8" w:space="0" w:color="auto"/>
        <w:right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77">
    <w:name w:val="xl77"/>
    <w:basedOn w:val="Normale"/>
    <w:rsid w:val="00D778C0"/>
    <w:pPr>
      <w:pBdr>
        <w:left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78">
    <w:name w:val="xl78"/>
    <w:basedOn w:val="Normale"/>
    <w:rsid w:val="00D778C0"/>
    <w:pP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79">
    <w:name w:val="xl79"/>
    <w:basedOn w:val="Normale"/>
    <w:rsid w:val="00D778C0"/>
    <w:pPr>
      <w:pBdr>
        <w:right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80">
    <w:name w:val="xl80"/>
    <w:basedOn w:val="Normale"/>
    <w:rsid w:val="00D778C0"/>
    <w:pPr>
      <w:pBdr>
        <w:left w:val="single" w:sz="8" w:space="0" w:color="auto"/>
        <w:bottom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81">
    <w:name w:val="xl81"/>
    <w:basedOn w:val="Normale"/>
    <w:rsid w:val="00D778C0"/>
    <w:pPr>
      <w:pBdr>
        <w:bottom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paragraph" w:customStyle="1" w:styleId="xl82">
    <w:name w:val="xl82"/>
    <w:basedOn w:val="Normale"/>
    <w:rsid w:val="00D778C0"/>
    <w:pPr>
      <w:pBdr>
        <w:bottom w:val="single" w:sz="8" w:space="0" w:color="auto"/>
        <w:right w:val="single" w:sz="8" w:space="0" w:color="auto"/>
      </w:pBdr>
      <w:spacing w:before="100" w:beforeAutospacing="1" w:after="100" w:afterAutospacing="1"/>
      <w:textAlignment w:val="top"/>
    </w:pPr>
    <w:rPr>
      <w:rFonts w:ascii="Arial" w:eastAsia="Times New Roman" w:hAnsi="Arial" w:cs="Arial"/>
      <w:sz w:val="32"/>
      <w:szCs w:val="32"/>
      <w:lang w:val="it-IT" w:eastAsia="it-IT"/>
    </w:rPr>
  </w:style>
  <w:style w:type="character" w:customStyle="1" w:styleId="size18">
    <w:name w:val="size_18"/>
    <w:basedOn w:val="Carpredefinitoparagrafo"/>
    <w:rsid w:val="000C1D0B"/>
  </w:style>
  <w:style w:type="paragraph" w:customStyle="1" w:styleId="null">
    <w:name w:val="null"/>
    <w:basedOn w:val="Normale"/>
    <w:rsid w:val="005C4DA2"/>
    <w:pPr>
      <w:spacing w:before="100" w:beforeAutospacing="1" w:after="100" w:afterAutospacing="1"/>
    </w:pPr>
  </w:style>
  <w:style w:type="character" w:customStyle="1" w:styleId="null1">
    <w:name w:val="null1"/>
    <w:basedOn w:val="Carpredefinitoparagrafo"/>
    <w:rsid w:val="005C4DA2"/>
  </w:style>
  <w:style w:type="paragraph" w:customStyle="1" w:styleId="xxmsonormal">
    <w:name w:val="x_xmsonormal"/>
    <w:basedOn w:val="Normale"/>
    <w:rsid w:val="00BD625D"/>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5325">
      <w:bodyDiv w:val="1"/>
      <w:marLeft w:val="0"/>
      <w:marRight w:val="0"/>
      <w:marTop w:val="0"/>
      <w:marBottom w:val="0"/>
      <w:divBdr>
        <w:top w:val="none" w:sz="0" w:space="0" w:color="auto"/>
        <w:left w:val="none" w:sz="0" w:space="0" w:color="auto"/>
        <w:bottom w:val="none" w:sz="0" w:space="0" w:color="auto"/>
        <w:right w:val="none" w:sz="0" w:space="0" w:color="auto"/>
      </w:divBdr>
    </w:div>
    <w:div w:id="269355987">
      <w:bodyDiv w:val="1"/>
      <w:marLeft w:val="0"/>
      <w:marRight w:val="0"/>
      <w:marTop w:val="0"/>
      <w:marBottom w:val="0"/>
      <w:divBdr>
        <w:top w:val="none" w:sz="0" w:space="0" w:color="auto"/>
        <w:left w:val="none" w:sz="0" w:space="0" w:color="auto"/>
        <w:bottom w:val="none" w:sz="0" w:space="0" w:color="auto"/>
        <w:right w:val="none" w:sz="0" w:space="0" w:color="auto"/>
      </w:divBdr>
    </w:div>
    <w:div w:id="450245661">
      <w:bodyDiv w:val="1"/>
      <w:marLeft w:val="0"/>
      <w:marRight w:val="0"/>
      <w:marTop w:val="0"/>
      <w:marBottom w:val="0"/>
      <w:divBdr>
        <w:top w:val="none" w:sz="0" w:space="0" w:color="auto"/>
        <w:left w:val="none" w:sz="0" w:space="0" w:color="auto"/>
        <w:bottom w:val="none" w:sz="0" w:space="0" w:color="auto"/>
        <w:right w:val="none" w:sz="0" w:space="0" w:color="auto"/>
      </w:divBdr>
    </w:div>
    <w:div w:id="535385850">
      <w:bodyDiv w:val="1"/>
      <w:marLeft w:val="0"/>
      <w:marRight w:val="0"/>
      <w:marTop w:val="0"/>
      <w:marBottom w:val="0"/>
      <w:divBdr>
        <w:top w:val="none" w:sz="0" w:space="0" w:color="auto"/>
        <w:left w:val="none" w:sz="0" w:space="0" w:color="auto"/>
        <w:bottom w:val="none" w:sz="0" w:space="0" w:color="auto"/>
        <w:right w:val="none" w:sz="0" w:space="0" w:color="auto"/>
      </w:divBdr>
    </w:div>
    <w:div w:id="668679145">
      <w:bodyDiv w:val="1"/>
      <w:marLeft w:val="0"/>
      <w:marRight w:val="0"/>
      <w:marTop w:val="0"/>
      <w:marBottom w:val="0"/>
      <w:divBdr>
        <w:top w:val="none" w:sz="0" w:space="0" w:color="auto"/>
        <w:left w:val="none" w:sz="0" w:space="0" w:color="auto"/>
        <w:bottom w:val="none" w:sz="0" w:space="0" w:color="auto"/>
        <w:right w:val="none" w:sz="0" w:space="0" w:color="auto"/>
      </w:divBdr>
    </w:div>
    <w:div w:id="679553048">
      <w:bodyDiv w:val="1"/>
      <w:marLeft w:val="0"/>
      <w:marRight w:val="0"/>
      <w:marTop w:val="0"/>
      <w:marBottom w:val="0"/>
      <w:divBdr>
        <w:top w:val="none" w:sz="0" w:space="0" w:color="auto"/>
        <w:left w:val="none" w:sz="0" w:space="0" w:color="auto"/>
        <w:bottom w:val="none" w:sz="0" w:space="0" w:color="auto"/>
        <w:right w:val="none" w:sz="0" w:space="0" w:color="auto"/>
      </w:divBdr>
    </w:div>
    <w:div w:id="707341407">
      <w:bodyDiv w:val="1"/>
      <w:marLeft w:val="0"/>
      <w:marRight w:val="0"/>
      <w:marTop w:val="0"/>
      <w:marBottom w:val="0"/>
      <w:divBdr>
        <w:top w:val="none" w:sz="0" w:space="0" w:color="auto"/>
        <w:left w:val="none" w:sz="0" w:space="0" w:color="auto"/>
        <w:bottom w:val="none" w:sz="0" w:space="0" w:color="auto"/>
        <w:right w:val="none" w:sz="0" w:space="0" w:color="auto"/>
      </w:divBdr>
    </w:div>
    <w:div w:id="854152001">
      <w:bodyDiv w:val="1"/>
      <w:marLeft w:val="0"/>
      <w:marRight w:val="0"/>
      <w:marTop w:val="0"/>
      <w:marBottom w:val="0"/>
      <w:divBdr>
        <w:top w:val="none" w:sz="0" w:space="0" w:color="auto"/>
        <w:left w:val="none" w:sz="0" w:space="0" w:color="auto"/>
        <w:bottom w:val="none" w:sz="0" w:space="0" w:color="auto"/>
        <w:right w:val="none" w:sz="0" w:space="0" w:color="auto"/>
      </w:divBdr>
    </w:div>
    <w:div w:id="936252720">
      <w:bodyDiv w:val="1"/>
      <w:marLeft w:val="0"/>
      <w:marRight w:val="0"/>
      <w:marTop w:val="0"/>
      <w:marBottom w:val="0"/>
      <w:divBdr>
        <w:top w:val="none" w:sz="0" w:space="0" w:color="auto"/>
        <w:left w:val="none" w:sz="0" w:space="0" w:color="auto"/>
        <w:bottom w:val="none" w:sz="0" w:space="0" w:color="auto"/>
        <w:right w:val="none" w:sz="0" w:space="0" w:color="auto"/>
      </w:divBdr>
    </w:div>
    <w:div w:id="1048384198">
      <w:bodyDiv w:val="1"/>
      <w:marLeft w:val="0"/>
      <w:marRight w:val="0"/>
      <w:marTop w:val="0"/>
      <w:marBottom w:val="0"/>
      <w:divBdr>
        <w:top w:val="none" w:sz="0" w:space="0" w:color="auto"/>
        <w:left w:val="none" w:sz="0" w:space="0" w:color="auto"/>
        <w:bottom w:val="none" w:sz="0" w:space="0" w:color="auto"/>
        <w:right w:val="none" w:sz="0" w:space="0" w:color="auto"/>
      </w:divBdr>
    </w:div>
    <w:div w:id="1071846988">
      <w:bodyDiv w:val="1"/>
      <w:marLeft w:val="0"/>
      <w:marRight w:val="0"/>
      <w:marTop w:val="0"/>
      <w:marBottom w:val="0"/>
      <w:divBdr>
        <w:top w:val="none" w:sz="0" w:space="0" w:color="auto"/>
        <w:left w:val="none" w:sz="0" w:space="0" w:color="auto"/>
        <w:bottom w:val="none" w:sz="0" w:space="0" w:color="auto"/>
        <w:right w:val="none" w:sz="0" w:space="0" w:color="auto"/>
      </w:divBdr>
    </w:div>
    <w:div w:id="1077098269">
      <w:bodyDiv w:val="1"/>
      <w:marLeft w:val="0"/>
      <w:marRight w:val="0"/>
      <w:marTop w:val="0"/>
      <w:marBottom w:val="0"/>
      <w:divBdr>
        <w:top w:val="none" w:sz="0" w:space="0" w:color="auto"/>
        <w:left w:val="none" w:sz="0" w:space="0" w:color="auto"/>
        <w:bottom w:val="none" w:sz="0" w:space="0" w:color="auto"/>
        <w:right w:val="none" w:sz="0" w:space="0" w:color="auto"/>
      </w:divBdr>
    </w:div>
    <w:div w:id="1146705417">
      <w:bodyDiv w:val="1"/>
      <w:marLeft w:val="0"/>
      <w:marRight w:val="0"/>
      <w:marTop w:val="0"/>
      <w:marBottom w:val="0"/>
      <w:divBdr>
        <w:top w:val="none" w:sz="0" w:space="0" w:color="auto"/>
        <w:left w:val="none" w:sz="0" w:space="0" w:color="auto"/>
        <w:bottom w:val="none" w:sz="0" w:space="0" w:color="auto"/>
        <w:right w:val="none" w:sz="0" w:space="0" w:color="auto"/>
      </w:divBdr>
    </w:div>
    <w:div w:id="1354653182">
      <w:bodyDiv w:val="1"/>
      <w:marLeft w:val="0"/>
      <w:marRight w:val="0"/>
      <w:marTop w:val="0"/>
      <w:marBottom w:val="0"/>
      <w:divBdr>
        <w:top w:val="none" w:sz="0" w:space="0" w:color="auto"/>
        <w:left w:val="none" w:sz="0" w:space="0" w:color="auto"/>
        <w:bottom w:val="none" w:sz="0" w:space="0" w:color="auto"/>
        <w:right w:val="none" w:sz="0" w:space="0" w:color="auto"/>
      </w:divBdr>
    </w:div>
    <w:div w:id="1456752768">
      <w:bodyDiv w:val="1"/>
      <w:marLeft w:val="0"/>
      <w:marRight w:val="0"/>
      <w:marTop w:val="0"/>
      <w:marBottom w:val="0"/>
      <w:divBdr>
        <w:top w:val="none" w:sz="0" w:space="0" w:color="auto"/>
        <w:left w:val="none" w:sz="0" w:space="0" w:color="auto"/>
        <w:bottom w:val="none" w:sz="0" w:space="0" w:color="auto"/>
        <w:right w:val="none" w:sz="0" w:space="0" w:color="auto"/>
      </w:divBdr>
    </w:div>
    <w:div w:id="1592279937">
      <w:bodyDiv w:val="1"/>
      <w:marLeft w:val="0"/>
      <w:marRight w:val="0"/>
      <w:marTop w:val="0"/>
      <w:marBottom w:val="0"/>
      <w:divBdr>
        <w:top w:val="none" w:sz="0" w:space="0" w:color="auto"/>
        <w:left w:val="none" w:sz="0" w:space="0" w:color="auto"/>
        <w:bottom w:val="none" w:sz="0" w:space="0" w:color="auto"/>
        <w:right w:val="none" w:sz="0" w:space="0" w:color="auto"/>
      </w:divBdr>
    </w:div>
    <w:div w:id="1602180713">
      <w:bodyDiv w:val="1"/>
      <w:marLeft w:val="0"/>
      <w:marRight w:val="0"/>
      <w:marTop w:val="0"/>
      <w:marBottom w:val="0"/>
      <w:divBdr>
        <w:top w:val="none" w:sz="0" w:space="0" w:color="auto"/>
        <w:left w:val="none" w:sz="0" w:space="0" w:color="auto"/>
        <w:bottom w:val="none" w:sz="0" w:space="0" w:color="auto"/>
        <w:right w:val="none" w:sz="0" w:space="0" w:color="auto"/>
      </w:divBdr>
    </w:div>
    <w:div w:id="1614089569">
      <w:bodyDiv w:val="1"/>
      <w:marLeft w:val="0"/>
      <w:marRight w:val="0"/>
      <w:marTop w:val="0"/>
      <w:marBottom w:val="0"/>
      <w:divBdr>
        <w:top w:val="none" w:sz="0" w:space="0" w:color="auto"/>
        <w:left w:val="none" w:sz="0" w:space="0" w:color="auto"/>
        <w:bottom w:val="none" w:sz="0" w:space="0" w:color="auto"/>
        <w:right w:val="none" w:sz="0" w:space="0" w:color="auto"/>
      </w:divBdr>
    </w:div>
    <w:div w:id="1635214543">
      <w:bodyDiv w:val="1"/>
      <w:marLeft w:val="0"/>
      <w:marRight w:val="0"/>
      <w:marTop w:val="0"/>
      <w:marBottom w:val="0"/>
      <w:divBdr>
        <w:top w:val="none" w:sz="0" w:space="0" w:color="auto"/>
        <w:left w:val="none" w:sz="0" w:space="0" w:color="auto"/>
        <w:bottom w:val="none" w:sz="0" w:space="0" w:color="auto"/>
        <w:right w:val="none" w:sz="0" w:space="0" w:color="auto"/>
      </w:divBdr>
    </w:div>
    <w:div w:id="1659307747">
      <w:bodyDiv w:val="1"/>
      <w:marLeft w:val="0"/>
      <w:marRight w:val="0"/>
      <w:marTop w:val="0"/>
      <w:marBottom w:val="0"/>
      <w:divBdr>
        <w:top w:val="none" w:sz="0" w:space="0" w:color="auto"/>
        <w:left w:val="none" w:sz="0" w:space="0" w:color="auto"/>
        <w:bottom w:val="none" w:sz="0" w:space="0" w:color="auto"/>
        <w:right w:val="none" w:sz="0" w:space="0" w:color="auto"/>
      </w:divBdr>
    </w:div>
    <w:div w:id="1671985575">
      <w:bodyDiv w:val="1"/>
      <w:marLeft w:val="0"/>
      <w:marRight w:val="0"/>
      <w:marTop w:val="0"/>
      <w:marBottom w:val="0"/>
      <w:divBdr>
        <w:top w:val="none" w:sz="0" w:space="0" w:color="auto"/>
        <w:left w:val="none" w:sz="0" w:space="0" w:color="auto"/>
        <w:bottom w:val="none" w:sz="0" w:space="0" w:color="auto"/>
        <w:right w:val="none" w:sz="0" w:space="0" w:color="auto"/>
      </w:divBdr>
    </w:div>
    <w:div w:id="1750498389">
      <w:bodyDiv w:val="1"/>
      <w:marLeft w:val="0"/>
      <w:marRight w:val="0"/>
      <w:marTop w:val="0"/>
      <w:marBottom w:val="0"/>
      <w:divBdr>
        <w:top w:val="none" w:sz="0" w:space="0" w:color="auto"/>
        <w:left w:val="none" w:sz="0" w:space="0" w:color="auto"/>
        <w:bottom w:val="none" w:sz="0" w:space="0" w:color="auto"/>
        <w:right w:val="none" w:sz="0" w:space="0" w:color="auto"/>
      </w:divBdr>
    </w:div>
    <w:div w:id="1905527323">
      <w:bodyDiv w:val="1"/>
      <w:marLeft w:val="0"/>
      <w:marRight w:val="0"/>
      <w:marTop w:val="0"/>
      <w:marBottom w:val="0"/>
      <w:divBdr>
        <w:top w:val="none" w:sz="0" w:space="0" w:color="auto"/>
        <w:left w:val="none" w:sz="0" w:space="0" w:color="auto"/>
        <w:bottom w:val="none" w:sz="0" w:space="0" w:color="auto"/>
        <w:right w:val="none" w:sz="0" w:space="0" w:color="auto"/>
      </w:divBdr>
    </w:div>
    <w:div w:id="1997955497">
      <w:bodyDiv w:val="1"/>
      <w:marLeft w:val="0"/>
      <w:marRight w:val="0"/>
      <w:marTop w:val="0"/>
      <w:marBottom w:val="0"/>
      <w:divBdr>
        <w:top w:val="none" w:sz="0" w:space="0" w:color="auto"/>
        <w:left w:val="none" w:sz="0" w:space="0" w:color="auto"/>
        <w:bottom w:val="none" w:sz="0" w:space="0" w:color="auto"/>
        <w:right w:val="none" w:sz="0" w:space="0" w:color="auto"/>
      </w:divBdr>
    </w:div>
    <w:div w:id="2012566708">
      <w:bodyDiv w:val="1"/>
      <w:marLeft w:val="0"/>
      <w:marRight w:val="0"/>
      <w:marTop w:val="0"/>
      <w:marBottom w:val="0"/>
      <w:divBdr>
        <w:top w:val="none" w:sz="0" w:space="0" w:color="auto"/>
        <w:left w:val="none" w:sz="0" w:space="0" w:color="auto"/>
        <w:bottom w:val="none" w:sz="0" w:space="0" w:color="auto"/>
        <w:right w:val="none" w:sz="0" w:space="0" w:color="auto"/>
      </w:divBdr>
    </w:div>
    <w:div w:id="2053731099">
      <w:bodyDiv w:val="1"/>
      <w:marLeft w:val="0"/>
      <w:marRight w:val="0"/>
      <w:marTop w:val="0"/>
      <w:marBottom w:val="0"/>
      <w:divBdr>
        <w:top w:val="none" w:sz="0" w:space="0" w:color="auto"/>
        <w:left w:val="none" w:sz="0" w:space="0" w:color="auto"/>
        <w:bottom w:val="none" w:sz="0" w:space="0" w:color="auto"/>
        <w:right w:val="none" w:sz="0" w:space="0" w:color="auto"/>
      </w:divBdr>
      <w:divsChild>
        <w:div w:id="1643076627">
          <w:marLeft w:val="0"/>
          <w:marRight w:val="0"/>
          <w:marTop w:val="0"/>
          <w:marBottom w:val="0"/>
          <w:divBdr>
            <w:top w:val="none" w:sz="0" w:space="0" w:color="auto"/>
            <w:left w:val="none" w:sz="0" w:space="0" w:color="auto"/>
            <w:bottom w:val="none" w:sz="0" w:space="0" w:color="auto"/>
            <w:right w:val="none" w:sz="0" w:space="0" w:color="auto"/>
          </w:divBdr>
          <w:divsChild>
            <w:div w:id="815612942">
              <w:marLeft w:val="0"/>
              <w:marRight w:val="0"/>
              <w:marTop w:val="0"/>
              <w:marBottom w:val="0"/>
              <w:divBdr>
                <w:top w:val="none" w:sz="0" w:space="0" w:color="auto"/>
                <w:left w:val="none" w:sz="0" w:space="0" w:color="auto"/>
                <w:bottom w:val="none" w:sz="0" w:space="0" w:color="auto"/>
                <w:right w:val="none" w:sz="0" w:space="0" w:color="auto"/>
              </w:divBdr>
              <w:divsChild>
                <w:div w:id="1419330199">
                  <w:marLeft w:val="-240"/>
                  <w:marRight w:val="-240"/>
                  <w:marTop w:val="0"/>
                  <w:marBottom w:val="0"/>
                  <w:divBdr>
                    <w:top w:val="none" w:sz="0" w:space="0" w:color="auto"/>
                    <w:left w:val="none" w:sz="0" w:space="0" w:color="auto"/>
                    <w:bottom w:val="none" w:sz="0" w:space="0" w:color="auto"/>
                    <w:right w:val="none" w:sz="0" w:space="0" w:color="auto"/>
                  </w:divBdr>
                  <w:divsChild>
                    <w:div w:id="1857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NGItal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INGItal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o.flavio.rondinelli@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ing-it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CGArial">
  <a:themeElements>
    <a:clrScheme name="UCG">
      <a:dk1>
        <a:sysClr val="windowText" lastClr="000000"/>
      </a:dk1>
      <a:lt1>
        <a:sysClr val="window" lastClr="FFFFFF"/>
      </a:lt1>
      <a:dk2>
        <a:srgbClr val="999999"/>
      </a:dk2>
      <a:lt2>
        <a:srgbClr val="CCCCCC"/>
      </a:lt2>
      <a:accent1>
        <a:srgbClr val="00AFD0"/>
      </a:accent1>
      <a:accent2>
        <a:srgbClr val="C0E4ED"/>
      </a:accent2>
      <a:accent3>
        <a:srgbClr val="3B8BCA"/>
      </a:accent3>
      <a:accent4>
        <a:srgbClr val="005095"/>
      </a:accent4>
      <a:accent5>
        <a:srgbClr val="9FCA7A"/>
      </a:accent5>
      <a:accent6>
        <a:srgbClr val="9E3A8B"/>
      </a:accent6>
      <a:hlink>
        <a:srgbClr val="3B8BCA"/>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CGArial" id="{A48AE1CF-CF7E-449C-9303-F6561F2CC1BB}" vid="{87C028B4-620F-4DAF-A723-4F684BA5C8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394083EFE534D8DCEE10A0665D7AA" ma:contentTypeVersion="13" ma:contentTypeDescription="Create a new document." ma:contentTypeScope="" ma:versionID="7a18e749416f672e5664c14b9e8a0c84">
  <xsd:schema xmlns:xsd="http://www.w3.org/2001/XMLSchema" xmlns:xs="http://www.w3.org/2001/XMLSchema" xmlns:p="http://schemas.microsoft.com/office/2006/metadata/properties" xmlns:ns3="7ce62929-f12e-4891-8e29-b9a7458abeed" xmlns:ns4="c07cf6bb-a70a-4da1-8da9-aa490d9dbb31" targetNamespace="http://schemas.microsoft.com/office/2006/metadata/properties" ma:root="true" ma:fieldsID="459ae4ff4316bcd4645172cb2f61ba2c" ns3:_="" ns4:_="">
    <xsd:import namespace="7ce62929-f12e-4891-8e29-b9a7458abeed"/>
    <xsd:import namespace="c07cf6bb-a70a-4da1-8da9-aa490d9dbb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2929-f12e-4891-8e29-b9a7458ab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cf6bb-a70a-4da1-8da9-aa490d9dbb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6377-4831-4EC9-A47D-48ED506B9831}">
  <ds:schemaRefs>
    <ds:schemaRef ds:uri="http://schemas.microsoft.com/sharepoint/v3/contenttype/forms"/>
  </ds:schemaRefs>
</ds:datastoreItem>
</file>

<file path=customXml/itemProps2.xml><?xml version="1.0" encoding="utf-8"?>
<ds:datastoreItem xmlns:ds="http://schemas.openxmlformats.org/officeDocument/2006/customXml" ds:itemID="{881D5783-398D-4927-952F-5203ED86C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2929-f12e-4891-8e29-b9a7458abeed"/>
    <ds:schemaRef ds:uri="c07cf6bb-a70a-4da1-8da9-aa490d9db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14FF6-FB06-4C2D-9155-EDC0DEB0B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103E3-A5C6-4CE6-8AF2-3C5720F6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Velo Michele (UniCredit)</dc:creator>
  <cp:keywords/>
  <dc:description/>
  <cp:lastModifiedBy>Luca Damiani</cp:lastModifiedBy>
  <cp:revision>2</cp:revision>
  <dcterms:created xsi:type="dcterms:W3CDTF">2022-05-17T06:41:00Z</dcterms:created>
  <dcterms:modified xsi:type="dcterms:W3CDTF">2022-05-17T06:41:00Z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2021-07-21T13:30:21Z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4449ffcb-86e1-40e8-ab2d-af8e079816a9</vt:lpwstr>
  </property>
  <property fmtid="{D5CDD505-2E9C-101B-9397-08002B2CF9AE}" pid="8" name="MSIP_Label_29db9e61-aac5-4f6e-805d-ceb8cb9983a1_ContentBits">
    <vt:lpwstr>0</vt:lpwstr>
  </property>
  <property fmtid="{D5CDD505-2E9C-101B-9397-08002B2CF9AE}" pid="9" name="ContentTypeId">
    <vt:lpwstr>0x010100818394083EFE534D8DCEE10A0665D7AA</vt:lpwstr>
  </property>
</Properties>
</file>