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EBA8" w14:textId="77777777" w:rsidR="005F3E13" w:rsidRDefault="005F3E13" w:rsidP="00F83559">
      <w:pPr>
        <w:pStyle w:val="Corpotesto"/>
        <w:pBdr>
          <w:bottom w:val="single" w:sz="6" w:space="1" w:color="2F5496" w:themeColor="accent1" w:themeShade="BF"/>
        </w:pBdr>
        <w:jc w:val="center"/>
        <w:rPr>
          <w:rFonts w:ascii="Verdana" w:hAnsi="Verdana"/>
          <w:sz w:val="22"/>
          <w:szCs w:val="24"/>
        </w:rPr>
      </w:pPr>
      <w:r>
        <w:rPr>
          <w:rFonts w:ascii="Verdana" w:hAnsi="Verdana"/>
          <w:noProof/>
          <w:sz w:val="22"/>
          <w:szCs w:val="24"/>
        </w:rPr>
        <w:drawing>
          <wp:inline distT="0" distB="0" distL="0" distR="0" wp14:anchorId="1D5991DA" wp14:editId="103D2693">
            <wp:extent cx="1743710" cy="756285"/>
            <wp:effectExtent l="0" t="0" r="889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68DBC" w14:textId="77777777" w:rsidR="005F3E13" w:rsidRDefault="005F3E13" w:rsidP="00F011F1">
      <w:pPr>
        <w:pStyle w:val="Corpotesto"/>
        <w:pBdr>
          <w:bottom w:val="single" w:sz="6" w:space="1" w:color="2F5496" w:themeColor="accent1" w:themeShade="BF"/>
        </w:pBdr>
        <w:rPr>
          <w:rFonts w:ascii="Verdana" w:hAnsi="Verdana"/>
          <w:sz w:val="22"/>
          <w:szCs w:val="24"/>
        </w:rPr>
      </w:pPr>
    </w:p>
    <w:p w14:paraId="6C0828F4" w14:textId="77777777" w:rsidR="00204BEC" w:rsidRDefault="00204BEC" w:rsidP="00A866C2">
      <w:pPr>
        <w:pStyle w:val="Corpotesto"/>
        <w:pBdr>
          <w:bottom w:val="single" w:sz="6" w:space="1" w:color="2F5496" w:themeColor="accent1" w:themeShade="BF"/>
        </w:pBdr>
        <w:jc w:val="center"/>
        <w:rPr>
          <w:rFonts w:ascii="Verdana" w:hAnsi="Verdana"/>
          <w:sz w:val="22"/>
          <w:szCs w:val="24"/>
        </w:rPr>
      </w:pPr>
    </w:p>
    <w:p w14:paraId="101819AC" w14:textId="77777777" w:rsidR="00F011F1" w:rsidRPr="009B6C09" w:rsidRDefault="00F011F1" w:rsidP="00A866C2">
      <w:pPr>
        <w:pStyle w:val="Corpotesto"/>
        <w:pBdr>
          <w:bottom w:val="single" w:sz="6" w:space="1" w:color="2F5496" w:themeColor="accent1" w:themeShade="BF"/>
        </w:pBdr>
        <w:jc w:val="center"/>
        <w:rPr>
          <w:rFonts w:ascii="Verdana" w:hAnsi="Verdana"/>
          <w:sz w:val="22"/>
          <w:szCs w:val="24"/>
        </w:rPr>
      </w:pPr>
      <w:r w:rsidRPr="009B6C09">
        <w:rPr>
          <w:rFonts w:ascii="Verdana" w:hAnsi="Verdana"/>
          <w:sz w:val="22"/>
          <w:szCs w:val="24"/>
        </w:rPr>
        <w:t>Comunicato stampa</w:t>
      </w:r>
    </w:p>
    <w:p w14:paraId="079D86DF" w14:textId="77777777" w:rsidR="00F011F1" w:rsidRDefault="00F011F1" w:rsidP="00F011F1">
      <w:pPr>
        <w:jc w:val="center"/>
        <w:rPr>
          <w:rFonts w:ascii="Verdana" w:hAnsi="Verdana"/>
          <w:b/>
          <w:sz w:val="16"/>
          <w:szCs w:val="28"/>
        </w:rPr>
      </w:pPr>
    </w:p>
    <w:p w14:paraId="414BD302" w14:textId="1D3A53E2" w:rsidR="00AF2FD9" w:rsidRPr="00F436AF" w:rsidRDefault="00F436AF" w:rsidP="00F436AF">
      <w:pPr>
        <w:jc w:val="both"/>
        <w:rPr>
          <w:rFonts w:ascii="Verdana" w:hAnsi="Verdana"/>
          <w:b/>
          <w:sz w:val="32"/>
          <w:szCs w:val="24"/>
        </w:rPr>
      </w:pPr>
      <w:r w:rsidRPr="00F436AF">
        <w:rPr>
          <w:rFonts w:ascii="Verdana" w:hAnsi="Verdana"/>
          <w:b/>
          <w:sz w:val="32"/>
          <w:szCs w:val="24"/>
        </w:rPr>
        <w:t xml:space="preserve">DeA Capital Real Estate </w:t>
      </w:r>
      <w:r w:rsidR="002E2A57">
        <w:rPr>
          <w:rFonts w:ascii="Verdana" w:hAnsi="Verdana"/>
          <w:b/>
          <w:sz w:val="32"/>
          <w:szCs w:val="24"/>
        </w:rPr>
        <w:t>acquista</w:t>
      </w:r>
      <w:r w:rsidR="00F83559">
        <w:rPr>
          <w:rFonts w:ascii="Verdana" w:hAnsi="Verdana"/>
          <w:b/>
          <w:sz w:val="32"/>
          <w:szCs w:val="24"/>
        </w:rPr>
        <w:t xml:space="preserve"> un portafoglio di </w:t>
      </w:r>
      <w:r w:rsidR="00775886" w:rsidRPr="0023617D">
        <w:rPr>
          <w:rFonts w:ascii="Verdana" w:hAnsi="Verdana"/>
          <w:b/>
          <w:sz w:val="32"/>
          <w:szCs w:val="24"/>
        </w:rPr>
        <w:t>15</w:t>
      </w:r>
      <w:r w:rsidR="00775886">
        <w:rPr>
          <w:rFonts w:ascii="Verdana" w:hAnsi="Verdana"/>
          <w:b/>
          <w:sz w:val="32"/>
          <w:szCs w:val="24"/>
        </w:rPr>
        <w:t xml:space="preserve"> </w:t>
      </w:r>
      <w:r w:rsidR="00F83559">
        <w:rPr>
          <w:rFonts w:ascii="Verdana" w:hAnsi="Verdana"/>
          <w:b/>
          <w:sz w:val="32"/>
          <w:szCs w:val="24"/>
        </w:rPr>
        <w:t xml:space="preserve">immobili da </w:t>
      </w:r>
      <w:r w:rsidR="00594510" w:rsidRPr="00594510">
        <w:rPr>
          <w:rFonts w:ascii="Verdana" w:hAnsi="Verdana"/>
          <w:b/>
          <w:sz w:val="32"/>
          <w:szCs w:val="24"/>
        </w:rPr>
        <w:t>BNP P</w:t>
      </w:r>
      <w:r w:rsidR="00594510">
        <w:rPr>
          <w:rFonts w:ascii="Verdana" w:hAnsi="Verdana"/>
          <w:b/>
          <w:sz w:val="32"/>
          <w:szCs w:val="24"/>
        </w:rPr>
        <w:t>aribas</w:t>
      </w:r>
      <w:r w:rsidR="00594510" w:rsidRPr="00594510">
        <w:rPr>
          <w:rFonts w:ascii="Verdana" w:hAnsi="Verdana"/>
          <w:b/>
          <w:sz w:val="32"/>
          <w:szCs w:val="24"/>
        </w:rPr>
        <w:t xml:space="preserve"> REIM </w:t>
      </w:r>
      <w:r w:rsidR="00F83559">
        <w:rPr>
          <w:rFonts w:ascii="Verdana" w:hAnsi="Verdana"/>
          <w:b/>
          <w:sz w:val="32"/>
          <w:szCs w:val="24"/>
        </w:rPr>
        <w:t>per €</w:t>
      </w:r>
      <w:r w:rsidR="00594510">
        <w:rPr>
          <w:rFonts w:ascii="Verdana" w:hAnsi="Verdana"/>
          <w:b/>
          <w:sz w:val="32"/>
          <w:szCs w:val="24"/>
        </w:rPr>
        <w:t>90</w:t>
      </w:r>
      <w:r w:rsidR="00F83559">
        <w:rPr>
          <w:rFonts w:ascii="Verdana" w:hAnsi="Verdana"/>
          <w:b/>
          <w:sz w:val="32"/>
          <w:szCs w:val="24"/>
        </w:rPr>
        <w:t xml:space="preserve"> milioni</w:t>
      </w:r>
    </w:p>
    <w:p w14:paraId="14EABDD5" w14:textId="77777777" w:rsidR="00F436AF" w:rsidRDefault="00F436AF" w:rsidP="00C32CF4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</w:p>
    <w:p w14:paraId="0C816082" w14:textId="321C9D0F" w:rsidR="00B8067C" w:rsidRDefault="00AF2FD9" w:rsidP="00C32CF4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  <w:r>
        <w:rPr>
          <w:rFonts w:ascii="Verdana" w:eastAsia="SimSun" w:hAnsi="Verdana" w:cs="Times"/>
          <w:color w:val="000000"/>
          <w:sz w:val="22"/>
          <w:szCs w:val="22"/>
          <w:lang w:eastAsia="zh-CN"/>
        </w:rPr>
        <w:t>Roma</w:t>
      </w:r>
      <w:r w:rsidR="00F436AF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e Milano</w:t>
      </w:r>
      <w:r w:rsidR="00B8067C">
        <w:rPr>
          <w:rFonts w:ascii="Verdana" w:eastAsia="SimSun" w:hAnsi="Verdana" w:cs="Times"/>
          <w:color w:val="000000"/>
          <w:sz w:val="22"/>
          <w:szCs w:val="22"/>
          <w:lang w:eastAsia="zh-CN"/>
        </w:rPr>
        <w:t>,</w:t>
      </w:r>
      <w:r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</w:t>
      </w:r>
      <w:r w:rsidR="003B7E66">
        <w:rPr>
          <w:rFonts w:ascii="Verdana" w:eastAsia="SimSun" w:hAnsi="Verdana" w:cs="Times"/>
          <w:color w:val="000000"/>
          <w:sz w:val="22"/>
          <w:szCs w:val="22"/>
          <w:lang w:eastAsia="zh-CN"/>
        </w:rPr>
        <w:t>3</w:t>
      </w:r>
      <w:r w:rsidR="00913086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</w:t>
      </w:r>
      <w:r w:rsidR="00594510">
        <w:rPr>
          <w:rFonts w:ascii="Verdana" w:eastAsia="SimSun" w:hAnsi="Verdana" w:cs="Times"/>
          <w:color w:val="000000"/>
          <w:sz w:val="22"/>
          <w:szCs w:val="22"/>
          <w:lang w:eastAsia="zh-CN"/>
        </w:rPr>
        <w:t>maggio</w:t>
      </w:r>
      <w:r w:rsidR="00B8067C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202</w:t>
      </w:r>
      <w:r w:rsidR="00594510">
        <w:rPr>
          <w:rFonts w:ascii="Verdana" w:eastAsia="SimSun" w:hAnsi="Verdana" w:cs="Times"/>
          <w:color w:val="000000"/>
          <w:sz w:val="22"/>
          <w:szCs w:val="22"/>
          <w:lang w:eastAsia="zh-CN"/>
        </w:rPr>
        <w:t>2</w:t>
      </w:r>
    </w:p>
    <w:p w14:paraId="5A6023AE" w14:textId="77777777" w:rsidR="00F436AF" w:rsidRPr="00F436AF" w:rsidRDefault="00F436AF" w:rsidP="00F436AF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</w:p>
    <w:p w14:paraId="3545BCDA" w14:textId="6966CB61" w:rsidR="00BF5553" w:rsidRDefault="00F436AF" w:rsidP="00594510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  <w:r w:rsidRPr="00F436AF">
        <w:rPr>
          <w:rFonts w:ascii="Verdana" w:eastAsia="SimSun" w:hAnsi="Verdana" w:cs="Times"/>
          <w:color w:val="000000"/>
          <w:sz w:val="22"/>
          <w:szCs w:val="22"/>
          <w:lang w:eastAsia="zh-CN"/>
        </w:rPr>
        <w:t>DeA Capital</w:t>
      </w:r>
      <w:r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Real Estate SGR</w:t>
      </w:r>
      <w:r w:rsidRPr="00F436AF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annuncia l</w:t>
      </w:r>
      <w:r w:rsidR="00F83559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’acquisizione </w:t>
      </w:r>
      <w:r w:rsidR="00822355">
        <w:rPr>
          <w:rFonts w:ascii="Verdana" w:eastAsia="SimSun" w:hAnsi="Verdana" w:cs="Times"/>
          <w:color w:val="000000"/>
          <w:sz w:val="22"/>
          <w:szCs w:val="22"/>
          <w:lang w:eastAsia="zh-CN"/>
        </w:rPr>
        <w:t>in blocco</w:t>
      </w:r>
      <w:r w:rsidR="00752F21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di</w:t>
      </w:r>
      <w:r w:rsidR="00822355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</w:t>
      </w:r>
      <w:r w:rsidR="00F83559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un portafoglio immobiliare </w:t>
      </w:r>
      <w:r w:rsidR="00822355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dal </w:t>
      </w:r>
      <w:r w:rsidR="00822355" w:rsidRPr="00FE4A5A">
        <w:rPr>
          <w:rFonts w:ascii="Verdana" w:eastAsia="SimSun" w:hAnsi="Verdana" w:cs="Times"/>
          <w:color w:val="000000"/>
          <w:sz w:val="22"/>
          <w:szCs w:val="22"/>
          <w:lang w:eastAsia="zh-CN"/>
        </w:rPr>
        <w:t>fondo di investimento alternativo “Immobiliare Dinamico”</w:t>
      </w:r>
      <w:r w:rsidR="00822355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, </w:t>
      </w:r>
      <w:r w:rsidR="00ED7AE9">
        <w:rPr>
          <w:rFonts w:ascii="Verdana" w:eastAsia="SimSun" w:hAnsi="Verdana" w:cs="Times"/>
          <w:color w:val="000000"/>
          <w:sz w:val="22"/>
          <w:szCs w:val="22"/>
          <w:lang w:eastAsia="zh-CN"/>
        </w:rPr>
        <w:t>del valore complessivo di €</w:t>
      </w:r>
      <w:r w:rsidR="00594510">
        <w:rPr>
          <w:rFonts w:ascii="Verdana" w:eastAsia="SimSun" w:hAnsi="Verdana" w:cs="Times"/>
          <w:color w:val="000000"/>
          <w:sz w:val="22"/>
          <w:szCs w:val="22"/>
          <w:lang w:eastAsia="zh-CN"/>
        </w:rPr>
        <w:t>90</w:t>
      </w:r>
      <w:r w:rsidR="00ED7AE9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milioni</w:t>
      </w:r>
      <w:r w:rsidR="00822355">
        <w:rPr>
          <w:rFonts w:ascii="Verdana" w:eastAsia="SimSun" w:hAnsi="Verdana" w:cs="Times"/>
          <w:color w:val="000000"/>
          <w:sz w:val="22"/>
          <w:szCs w:val="22"/>
          <w:lang w:eastAsia="zh-CN"/>
        </w:rPr>
        <w:t>, gestito</w:t>
      </w:r>
      <w:r w:rsidR="00C2279D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</w:t>
      </w:r>
      <w:r w:rsidR="00ED7AE9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da </w:t>
      </w:r>
      <w:r w:rsidR="00594510" w:rsidRPr="00594510">
        <w:rPr>
          <w:rFonts w:ascii="Verdana" w:eastAsia="SimSun" w:hAnsi="Verdana" w:cs="Times"/>
          <w:color w:val="000000"/>
          <w:sz w:val="22"/>
          <w:szCs w:val="22"/>
          <w:lang w:eastAsia="zh-CN"/>
        </w:rPr>
        <w:t>BNP Paribas Real Estate</w:t>
      </w:r>
      <w:r w:rsidR="00594510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</w:t>
      </w:r>
      <w:r w:rsidR="00594510" w:rsidRPr="00594510">
        <w:rPr>
          <w:rFonts w:ascii="Verdana" w:eastAsia="SimSun" w:hAnsi="Verdana" w:cs="Times"/>
          <w:color w:val="000000"/>
          <w:sz w:val="22"/>
          <w:szCs w:val="22"/>
          <w:lang w:eastAsia="zh-CN"/>
        </w:rPr>
        <w:t>Investment Management Italy SGR</w:t>
      </w:r>
      <w:r w:rsidR="00ED7AE9">
        <w:rPr>
          <w:rFonts w:ascii="Verdana" w:eastAsia="SimSun" w:hAnsi="Verdana" w:cs="Times"/>
          <w:color w:val="000000"/>
          <w:sz w:val="22"/>
          <w:szCs w:val="22"/>
          <w:lang w:eastAsia="zh-CN"/>
        </w:rPr>
        <w:t>.</w:t>
      </w:r>
    </w:p>
    <w:p w14:paraId="4F6ACD96" w14:textId="77777777" w:rsidR="00BF5553" w:rsidRDefault="00BF5553" w:rsidP="00F436AF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</w:p>
    <w:p w14:paraId="4F5DDDE4" w14:textId="72994EC7" w:rsidR="00D14455" w:rsidRPr="003B7E66" w:rsidRDefault="00ED7AE9" w:rsidP="00FE4A5A">
      <w:pPr>
        <w:jc w:val="both"/>
        <w:rPr>
          <w:rFonts w:ascii="Verdana" w:eastAsia="SimSun" w:hAnsi="Verdana" w:cs="Times"/>
          <w:sz w:val="22"/>
          <w:szCs w:val="22"/>
          <w:lang w:eastAsia="zh-CN"/>
        </w:rPr>
      </w:pPr>
      <w:r>
        <w:rPr>
          <w:rFonts w:ascii="Verdana" w:eastAsia="SimSun" w:hAnsi="Verdana" w:cs="Times"/>
          <w:color w:val="000000"/>
          <w:sz w:val="22"/>
          <w:szCs w:val="22"/>
          <w:lang w:eastAsia="zh-CN"/>
        </w:rPr>
        <w:t>Si tratta d</w:t>
      </w:r>
      <w:r w:rsidR="00A16CB8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i un portafoglio </w:t>
      </w:r>
      <w:r w:rsidR="002E2A57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immobiliare composto da </w:t>
      </w:r>
      <w:r w:rsidR="0097673E" w:rsidRPr="00752F21">
        <w:rPr>
          <w:rFonts w:ascii="Verdana" w:eastAsia="SimSun" w:hAnsi="Verdana" w:cs="Times"/>
          <w:sz w:val="22"/>
          <w:szCs w:val="22"/>
          <w:lang w:eastAsia="zh-CN"/>
        </w:rPr>
        <w:t>15</w:t>
      </w:r>
      <w:r w:rsidR="00A16CB8" w:rsidRPr="00752F21">
        <w:rPr>
          <w:rFonts w:ascii="Verdana" w:eastAsia="SimSun" w:hAnsi="Verdana" w:cs="Times"/>
          <w:sz w:val="22"/>
          <w:szCs w:val="22"/>
          <w:lang w:eastAsia="zh-CN"/>
        </w:rPr>
        <w:t xml:space="preserve"> </w:t>
      </w:r>
      <w:r w:rsidR="00A16CB8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asset </w:t>
      </w:r>
      <w:r w:rsidR="0097673E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di cui 5 </w:t>
      </w:r>
      <w:r w:rsidR="00A16CB8">
        <w:rPr>
          <w:rFonts w:ascii="Verdana" w:eastAsia="SimSun" w:hAnsi="Verdana" w:cs="Times"/>
          <w:color w:val="000000"/>
          <w:sz w:val="22"/>
          <w:szCs w:val="22"/>
          <w:lang w:eastAsia="zh-CN"/>
        </w:rPr>
        <w:t>a destinazione d’uso</w:t>
      </w:r>
      <w:r w:rsidR="0097673E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uffici (GLA </w:t>
      </w:r>
      <w:r w:rsidR="00713BBB">
        <w:rPr>
          <w:rFonts w:ascii="Verdana" w:eastAsia="SimSun" w:hAnsi="Verdana" w:cs="Times"/>
          <w:color w:val="000000"/>
          <w:sz w:val="22"/>
          <w:szCs w:val="22"/>
          <w:lang w:eastAsia="zh-CN"/>
        </w:rPr>
        <w:t>35.000</w:t>
      </w:r>
      <w:r w:rsidR="0097673E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mq) siti in Milano e Roma e 10 a destinazione retail (GLA </w:t>
      </w:r>
      <w:r w:rsidR="00713BBB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48.000 </w:t>
      </w:r>
      <w:r w:rsidR="0097673E">
        <w:rPr>
          <w:rFonts w:ascii="Verdana" w:eastAsia="SimSun" w:hAnsi="Verdana" w:cs="Times"/>
          <w:color w:val="000000"/>
          <w:sz w:val="22"/>
          <w:szCs w:val="22"/>
          <w:lang w:eastAsia="zh-CN"/>
        </w:rPr>
        <w:t>mq) siti nel nord Italia.</w:t>
      </w:r>
    </w:p>
    <w:p w14:paraId="5F164AF8" w14:textId="77777777" w:rsidR="00EC6CC3" w:rsidRPr="003B7E66" w:rsidRDefault="00EC6CC3" w:rsidP="00FE4A5A">
      <w:pPr>
        <w:jc w:val="both"/>
        <w:rPr>
          <w:rFonts w:ascii="Verdana" w:eastAsia="SimSun" w:hAnsi="Verdana" w:cs="Times"/>
          <w:sz w:val="22"/>
          <w:szCs w:val="22"/>
          <w:lang w:eastAsia="zh-CN"/>
        </w:rPr>
      </w:pPr>
    </w:p>
    <w:p w14:paraId="7546EF72" w14:textId="7C88F5EC" w:rsidR="000C7C00" w:rsidRPr="00752F21" w:rsidRDefault="00EC6CC3" w:rsidP="00FE4A5A">
      <w:pPr>
        <w:jc w:val="both"/>
        <w:rPr>
          <w:rFonts w:ascii="Verdana" w:eastAsia="SimSun" w:hAnsi="Verdana" w:cs="Times"/>
          <w:sz w:val="22"/>
          <w:szCs w:val="22"/>
          <w:lang w:eastAsia="zh-CN"/>
        </w:rPr>
      </w:pPr>
      <w:r w:rsidRPr="00752F21">
        <w:rPr>
          <w:rFonts w:ascii="Verdana" w:eastAsia="SimSun" w:hAnsi="Verdana" w:cs="Times"/>
          <w:sz w:val="22"/>
          <w:szCs w:val="22"/>
          <w:lang w:eastAsia="zh-CN"/>
        </w:rPr>
        <w:t>Alla data del closing i</w:t>
      </w:r>
      <w:r w:rsidR="0097673E" w:rsidRPr="00752F21">
        <w:rPr>
          <w:rFonts w:ascii="Verdana" w:eastAsia="SimSun" w:hAnsi="Verdana" w:cs="Times"/>
          <w:sz w:val="22"/>
          <w:szCs w:val="22"/>
          <w:lang w:eastAsia="zh-CN"/>
        </w:rPr>
        <w:t xml:space="preserve">l portafoglio </w:t>
      </w:r>
      <w:r w:rsidRPr="00752F21">
        <w:rPr>
          <w:rFonts w:ascii="Verdana" w:eastAsia="SimSun" w:hAnsi="Verdana" w:cs="Times"/>
          <w:sz w:val="22"/>
          <w:szCs w:val="22"/>
          <w:lang w:eastAsia="zh-CN"/>
        </w:rPr>
        <w:t xml:space="preserve">risulta </w:t>
      </w:r>
      <w:r w:rsidR="0097673E" w:rsidRPr="00752F21">
        <w:rPr>
          <w:rFonts w:ascii="Verdana" w:eastAsia="SimSun" w:hAnsi="Verdana" w:cs="Times"/>
          <w:sz w:val="22"/>
          <w:szCs w:val="22"/>
          <w:lang w:eastAsia="zh-CN"/>
        </w:rPr>
        <w:t>locato al</w:t>
      </w:r>
      <w:r w:rsidRPr="00752F21">
        <w:rPr>
          <w:rFonts w:ascii="Verdana" w:eastAsia="SimSun" w:hAnsi="Verdana" w:cs="Times"/>
          <w:sz w:val="22"/>
          <w:szCs w:val="22"/>
          <w:lang w:eastAsia="zh-CN"/>
        </w:rPr>
        <w:t>l’</w:t>
      </w:r>
      <w:r w:rsidR="0097673E" w:rsidRPr="00752F21">
        <w:rPr>
          <w:rFonts w:ascii="Verdana" w:eastAsia="SimSun" w:hAnsi="Verdana" w:cs="Times"/>
          <w:sz w:val="22"/>
          <w:szCs w:val="22"/>
          <w:lang w:eastAsia="zh-CN"/>
        </w:rPr>
        <w:t xml:space="preserve"> </w:t>
      </w:r>
      <w:r w:rsidRPr="00752F21">
        <w:rPr>
          <w:rFonts w:ascii="Verdana" w:eastAsia="SimSun" w:hAnsi="Verdana" w:cs="Times"/>
          <w:sz w:val="22"/>
          <w:szCs w:val="22"/>
          <w:lang w:eastAsia="zh-CN"/>
        </w:rPr>
        <w:t>86</w:t>
      </w:r>
      <w:r w:rsidR="0097673E" w:rsidRPr="00752F21">
        <w:rPr>
          <w:rFonts w:ascii="Verdana" w:eastAsia="SimSun" w:hAnsi="Verdana" w:cs="Times"/>
          <w:sz w:val="22"/>
          <w:szCs w:val="22"/>
          <w:lang w:eastAsia="zh-CN"/>
        </w:rPr>
        <w:t>% a primari tenant</w:t>
      </w:r>
      <w:r w:rsidRPr="00752F21">
        <w:rPr>
          <w:rFonts w:ascii="Verdana" w:eastAsia="SimSun" w:hAnsi="Verdana" w:cs="Times"/>
          <w:sz w:val="22"/>
          <w:szCs w:val="22"/>
          <w:lang w:eastAsia="zh-CN"/>
        </w:rPr>
        <w:t xml:space="preserve">. </w:t>
      </w:r>
    </w:p>
    <w:p w14:paraId="1D62D728" w14:textId="23B24614" w:rsidR="00FE4A5A" w:rsidRDefault="00FE4A5A" w:rsidP="00D14455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</w:p>
    <w:p w14:paraId="73E4C835" w14:textId="0E1EF222" w:rsidR="002E2A57" w:rsidRPr="00D14455" w:rsidRDefault="00974AB6" w:rsidP="00D14455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  <w:r>
        <w:rPr>
          <w:rFonts w:ascii="Verdana" w:eastAsia="SimSun" w:hAnsi="Verdana" w:cs="Times"/>
          <w:color w:val="000000"/>
          <w:sz w:val="22"/>
          <w:szCs w:val="22"/>
          <w:lang w:eastAsia="zh-CN"/>
        </w:rPr>
        <w:t>Nell</w:t>
      </w:r>
      <w:r w:rsidR="002E2A57">
        <w:rPr>
          <w:rFonts w:ascii="Verdana" w:eastAsia="SimSun" w:hAnsi="Verdana" w:cs="Times"/>
          <w:color w:val="000000"/>
          <w:sz w:val="22"/>
          <w:szCs w:val="22"/>
          <w:lang w:eastAsia="zh-CN"/>
        </w:rPr>
        <w:t>’acquisizione</w:t>
      </w:r>
      <w:r w:rsidR="00D77ED9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, </w:t>
      </w:r>
      <w:r w:rsidR="002E2A57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perfezionata per il tramite di un FIA immobiliare di </w:t>
      </w:r>
      <w:r w:rsidR="00775886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recente </w:t>
      </w:r>
      <w:r w:rsidR="002E2A57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costituzione (fondo di investimento immobiliare alternativo) </w:t>
      </w:r>
      <w:r w:rsidR="003B7E66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gestito da DeA Capital Real Estate SGR e </w:t>
      </w:r>
      <w:r w:rsidR="002E2A57">
        <w:rPr>
          <w:rFonts w:ascii="Verdana" w:eastAsia="SimSun" w:hAnsi="Verdana" w:cs="Times"/>
          <w:color w:val="000000"/>
          <w:sz w:val="22"/>
          <w:szCs w:val="22"/>
          <w:lang w:eastAsia="zh-CN"/>
        </w:rPr>
        <w:t>sottoscritto da</w:t>
      </w:r>
      <w:r w:rsidR="00881548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</w:t>
      </w:r>
      <w:r w:rsidR="00881548" w:rsidRPr="00881548">
        <w:rPr>
          <w:rFonts w:ascii="Verdana" w:eastAsia="SimSun" w:hAnsi="Verdana" w:cs="Times"/>
          <w:color w:val="000000"/>
          <w:sz w:val="22"/>
          <w:szCs w:val="22"/>
          <w:lang w:eastAsia="zh-CN"/>
        </w:rPr>
        <w:t>CPI Property Group</w:t>
      </w:r>
      <w:r>
        <w:rPr>
          <w:rFonts w:ascii="Verdana" w:eastAsia="SimSun" w:hAnsi="Verdana" w:cs="Times"/>
          <w:color w:val="000000"/>
          <w:sz w:val="22"/>
          <w:szCs w:val="22"/>
          <w:lang w:eastAsia="zh-CN"/>
        </w:rPr>
        <w:t>,</w:t>
      </w:r>
      <w:r w:rsidR="00D77ED9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</w:t>
      </w:r>
      <w:r w:rsidR="00D77ED9" w:rsidRPr="00D77ED9">
        <w:rPr>
          <w:rFonts w:ascii="Verdana" w:eastAsia="SimSun" w:hAnsi="Verdana" w:cs="Times"/>
          <w:color w:val="000000"/>
          <w:sz w:val="22"/>
          <w:szCs w:val="22"/>
          <w:lang w:eastAsia="zh-CN"/>
        </w:rPr>
        <w:t>Gabetti Property Solutions S.p.A.</w:t>
      </w:r>
      <w:r w:rsidRPr="00974AB6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 </w:t>
      </w:r>
      <w:r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ha operato </w:t>
      </w:r>
      <w:r w:rsidRPr="00D77ED9"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in qualità di advisor </w:t>
      </w:r>
      <w:r>
        <w:rPr>
          <w:rFonts w:ascii="Verdana" w:eastAsia="SimSun" w:hAnsi="Verdana" w:cs="Times"/>
          <w:color w:val="000000"/>
          <w:sz w:val="22"/>
          <w:szCs w:val="22"/>
          <w:lang w:eastAsia="zh-CN"/>
        </w:rPr>
        <w:t xml:space="preserve">e di intermediario. </w:t>
      </w:r>
    </w:p>
    <w:p w14:paraId="2AE19FAD" w14:textId="77777777" w:rsidR="00010246" w:rsidRPr="00D14455" w:rsidRDefault="00010246" w:rsidP="00D14455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</w:p>
    <w:p w14:paraId="2CB78498" w14:textId="77777777" w:rsidR="002D5BA0" w:rsidRDefault="002D5BA0" w:rsidP="00B4038C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</w:p>
    <w:p w14:paraId="17667F68" w14:textId="77777777" w:rsidR="00E96A5B" w:rsidRDefault="00E96A5B" w:rsidP="00B4038C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</w:p>
    <w:p w14:paraId="5232777F" w14:textId="77777777" w:rsidR="00E96A5B" w:rsidRDefault="00E96A5B" w:rsidP="00B4038C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</w:p>
    <w:p w14:paraId="751F1E3F" w14:textId="77777777" w:rsidR="00E96A5B" w:rsidRDefault="00E96A5B" w:rsidP="00B4038C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</w:p>
    <w:p w14:paraId="45D8524B" w14:textId="77777777" w:rsidR="00E96A5B" w:rsidRDefault="00E96A5B" w:rsidP="00B4038C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</w:p>
    <w:p w14:paraId="16D9E762" w14:textId="77777777" w:rsidR="00E96A5B" w:rsidRDefault="00E96A5B" w:rsidP="00B4038C">
      <w:pPr>
        <w:jc w:val="both"/>
        <w:rPr>
          <w:rFonts w:ascii="Verdana" w:eastAsia="SimSun" w:hAnsi="Verdana" w:cs="Times"/>
          <w:color w:val="000000"/>
          <w:sz w:val="22"/>
          <w:szCs w:val="22"/>
          <w:lang w:eastAsia="zh-CN"/>
        </w:rPr>
      </w:pPr>
    </w:p>
    <w:p w14:paraId="408E4FCD" w14:textId="77777777" w:rsidR="00E96A5B" w:rsidRDefault="00141E31" w:rsidP="00141E31">
      <w:pPr>
        <w:jc w:val="both"/>
        <w:rPr>
          <w:rFonts w:ascii="Verdana" w:eastAsia="SimSun" w:hAnsi="Verdana" w:cs="Times"/>
          <w:b/>
          <w:color w:val="000000"/>
          <w:sz w:val="18"/>
          <w:szCs w:val="22"/>
          <w:lang w:eastAsia="zh-CN"/>
        </w:rPr>
      </w:pPr>
      <w:r w:rsidRPr="00141E31">
        <w:rPr>
          <w:rFonts w:ascii="Verdana" w:eastAsia="SimSun" w:hAnsi="Verdana" w:cs="Times"/>
          <w:b/>
          <w:color w:val="000000"/>
          <w:sz w:val="18"/>
          <w:szCs w:val="22"/>
          <w:lang w:eastAsia="zh-CN"/>
        </w:rPr>
        <w:t xml:space="preserve">DeA Capital Real Estate SGR S.p.A. </w:t>
      </w:r>
    </w:p>
    <w:p w14:paraId="2E9843F7" w14:textId="77777777" w:rsidR="00E96A5B" w:rsidRPr="00E96A5B" w:rsidRDefault="00E96A5B" w:rsidP="00E96A5B">
      <w:pPr>
        <w:jc w:val="both"/>
        <w:rPr>
          <w:rFonts w:ascii="Verdana" w:eastAsia="SimSun" w:hAnsi="Verdana" w:cs="Times"/>
          <w:color w:val="000000"/>
          <w:sz w:val="16"/>
          <w:szCs w:val="18"/>
          <w:lang w:eastAsia="zh-CN"/>
        </w:rPr>
      </w:pPr>
      <w:r w:rsidRPr="00E96A5B">
        <w:rPr>
          <w:rFonts w:ascii="Verdana" w:eastAsia="SimSun" w:hAnsi="Verdana" w:cs="Times"/>
          <w:color w:val="000000"/>
          <w:sz w:val="16"/>
          <w:szCs w:val="18"/>
          <w:lang w:eastAsia="zh-CN"/>
        </w:rPr>
        <w:t>è la società di Gestione del Risparmio, leader in Italia, specializzata in Fondi di Investimento Alternativi (FIA) Immobiliari, con una quota di mercato superiore al 22.5%. Gestisce € 11,6 miliardi di patrimonio attraverso 54 Fondi immobiliari e una SICAF, di cui 2 quotati nel segmento MIV di Borsa Italiana.</w:t>
      </w:r>
    </w:p>
    <w:p w14:paraId="22742210" w14:textId="77777777" w:rsidR="00E96A5B" w:rsidRPr="00E96A5B" w:rsidRDefault="00E96A5B" w:rsidP="00E96A5B">
      <w:pPr>
        <w:jc w:val="both"/>
        <w:rPr>
          <w:rFonts w:ascii="Verdana" w:eastAsia="SimSun" w:hAnsi="Verdana" w:cs="Times"/>
          <w:color w:val="000000"/>
          <w:sz w:val="16"/>
          <w:szCs w:val="18"/>
          <w:lang w:eastAsia="zh-CN"/>
        </w:rPr>
      </w:pPr>
      <w:r w:rsidRPr="00E96A5B">
        <w:rPr>
          <w:rFonts w:ascii="Verdana" w:eastAsia="SimSun" w:hAnsi="Verdana" w:cs="Times"/>
          <w:color w:val="000000"/>
          <w:sz w:val="16"/>
          <w:szCs w:val="18"/>
          <w:lang w:eastAsia="zh-CN"/>
        </w:rPr>
        <w:t>DeA Capital Real Estate SGR S.p.A. è leader del mercato immobiliare italiano, con un patrimonio composto da oltre 750 immobili, il 70% dei quali collocati a Roma e Milano, e un importante portafoglio di Partner, costituito da circa 100 Investitori istituzionali italiani e internazionali.</w:t>
      </w:r>
    </w:p>
    <w:p w14:paraId="5C4B96A7" w14:textId="77777777" w:rsidR="00E96A5B" w:rsidRPr="00E96A5B" w:rsidRDefault="00E96A5B" w:rsidP="00E96A5B">
      <w:pPr>
        <w:jc w:val="both"/>
        <w:rPr>
          <w:rFonts w:ascii="Verdana" w:eastAsia="SimSun" w:hAnsi="Verdana" w:cs="Times"/>
          <w:color w:val="000000"/>
          <w:sz w:val="16"/>
          <w:szCs w:val="18"/>
          <w:lang w:eastAsia="zh-CN"/>
        </w:rPr>
      </w:pPr>
      <w:r w:rsidRPr="00E96A5B">
        <w:rPr>
          <w:rFonts w:ascii="Verdana" w:eastAsia="SimSun" w:hAnsi="Verdana" w:cs="Times"/>
          <w:color w:val="000000"/>
          <w:sz w:val="16"/>
          <w:szCs w:val="18"/>
          <w:lang w:eastAsia="zh-CN"/>
        </w:rPr>
        <w:t>La SGR ha aderito, da gennaio 2019, al PRI, un’iniziativa delle Nazioni Unite nata nel 2006 per promuovere l’adozione dei principi ESG nella gestione di patrimoni. L’adesione ai valori ESG è conseguenza naturale del modello gestionale della società che valorizza investimenti, ambiente, impegno sociale e governance.</w:t>
      </w:r>
    </w:p>
    <w:p w14:paraId="5ADF7283" w14:textId="77777777" w:rsidR="00E96A5B" w:rsidRDefault="00E96A5B" w:rsidP="00141E31">
      <w:pPr>
        <w:jc w:val="both"/>
        <w:rPr>
          <w:rFonts w:ascii="Verdana" w:eastAsia="SimSun" w:hAnsi="Verdana" w:cs="Times"/>
          <w:b/>
          <w:color w:val="000000"/>
          <w:sz w:val="18"/>
          <w:szCs w:val="22"/>
          <w:lang w:eastAsia="zh-CN"/>
        </w:rPr>
      </w:pPr>
    </w:p>
    <w:p w14:paraId="4938F05E" w14:textId="77777777" w:rsidR="00E96A5B" w:rsidRDefault="00E96A5B" w:rsidP="00141E31">
      <w:pPr>
        <w:jc w:val="both"/>
        <w:rPr>
          <w:rFonts w:ascii="Verdana" w:eastAsia="SimSun" w:hAnsi="Verdana" w:cs="Times"/>
          <w:b/>
          <w:color w:val="000000"/>
          <w:sz w:val="18"/>
          <w:szCs w:val="22"/>
          <w:lang w:eastAsia="zh-CN"/>
        </w:rPr>
      </w:pPr>
    </w:p>
    <w:p w14:paraId="286A2BC1" w14:textId="77777777" w:rsidR="004C4527" w:rsidRPr="002D5BA0" w:rsidRDefault="004C4527" w:rsidP="00B4038C">
      <w:pPr>
        <w:jc w:val="both"/>
        <w:rPr>
          <w:rFonts w:ascii="Verdana" w:eastAsia="SimSun" w:hAnsi="Verdana" w:cs="Times"/>
          <w:color w:val="000000"/>
          <w:sz w:val="20"/>
          <w:szCs w:val="22"/>
          <w:lang w:eastAsia="zh-CN"/>
        </w:rPr>
      </w:pPr>
    </w:p>
    <w:p w14:paraId="0C1D4A48" w14:textId="77777777" w:rsidR="00F011F1" w:rsidRDefault="00F011F1" w:rsidP="00F011F1">
      <w:pPr>
        <w:rPr>
          <w:rFonts w:ascii="Verdana" w:hAnsi="Verdana" w:cs="Verdana"/>
          <w:color w:val="000000"/>
          <w:sz w:val="16"/>
        </w:rPr>
      </w:pPr>
    </w:p>
    <w:p w14:paraId="5AB7645A" w14:textId="77777777" w:rsidR="00F011F1" w:rsidRPr="00575EDC" w:rsidRDefault="00F011F1" w:rsidP="00F011F1">
      <w:pPr>
        <w:rPr>
          <w:rFonts w:ascii="Verdana" w:hAnsi="Verdana" w:cs="Verdana"/>
          <w:color w:val="000000"/>
          <w:sz w:val="16"/>
        </w:rPr>
      </w:pPr>
      <w:r w:rsidRPr="00575EDC">
        <w:rPr>
          <w:rFonts w:ascii="Verdana" w:hAnsi="Verdana" w:cs="Verdana"/>
          <w:color w:val="000000"/>
          <w:sz w:val="16"/>
        </w:rPr>
        <w:t xml:space="preserve">Per ulteriori informazioni: </w:t>
      </w:r>
    </w:p>
    <w:p w14:paraId="4891B360" w14:textId="77777777" w:rsidR="00F011F1" w:rsidRPr="00575EDC" w:rsidRDefault="00F011F1" w:rsidP="00F011F1">
      <w:pPr>
        <w:rPr>
          <w:rFonts w:ascii="Verdana" w:hAnsi="Verdana" w:cs="Verdana"/>
          <w:color w:val="000000"/>
          <w:sz w:val="16"/>
        </w:rPr>
      </w:pPr>
      <w:r w:rsidRPr="00575EDC">
        <w:rPr>
          <w:rFonts w:ascii="Verdana" w:hAnsi="Verdana" w:cs="Verdana"/>
          <w:color w:val="000000"/>
          <w:sz w:val="16"/>
        </w:rPr>
        <w:t>Com</w:t>
      </w:r>
      <w:r w:rsidR="00827355">
        <w:rPr>
          <w:rFonts w:ascii="Verdana" w:hAnsi="Verdana" w:cs="Verdana"/>
          <w:color w:val="000000"/>
          <w:sz w:val="16"/>
        </w:rPr>
        <w:t>unicazione e Ufficio Stampa DeA Capital</w:t>
      </w:r>
      <w:r w:rsidR="00CA127A">
        <w:rPr>
          <w:rFonts w:ascii="Verdana" w:hAnsi="Verdana" w:cs="Verdana"/>
          <w:color w:val="000000"/>
          <w:sz w:val="16"/>
        </w:rPr>
        <w:t xml:space="preserve"> S.p.A.</w:t>
      </w:r>
    </w:p>
    <w:p w14:paraId="189B4C2F" w14:textId="77777777" w:rsidR="00F011F1" w:rsidRPr="00575EDC" w:rsidRDefault="00F011F1" w:rsidP="00F011F1">
      <w:pPr>
        <w:rPr>
          <w:rFonts w:ascii="Verdana" w:hAnsi="Verdana"/>
          <w:sz w:val="16"/>
          <w:szCs w:val="19"/>
        </w:rPr>
      </w:pPr>
      <w:r w:rsidRPr="00575EDC">
        <w:rPr>
          <w:rFonts w:ascii="Verdana" w:hAnsi="Verdana" w:cs="Verdana"/>
          <w:color w:val="000000"/>
          <w:sz w:val="16"/>
        </w:rPr>
        <w:t xml:space="preserve">Marco </w:t>
      </w:r>
      <w:r w:rsidRPr="00575EDC">
        <w:rPr>
          <w:rFonts w:ascii="Verdana" w:hAnsi="Verdana"/>
          <w:sz w:val="16"/>
          <w:szCs w:val="19"/>
        </w:rPr>
        <w:t xml:space="preserve">Scopigno, </w:t>
      </w:r>
      <w:hyperlink r:id="rId11" w:history="1">
        <w:r w:rsidRPr="00575EDC">
          <w:rPr>
            <w:rFonts w:ascii="Verdana" w:hAnsi="Verdana"/>
            <w:sz w:val="16"/>
            <w:szCs w:val="19"/>
          </w:rPr>
          <w:t>marco.scopigno@deacapital.com</w:t>
        </w:r>
      </w:hyperlink>
      <w:r w:rsidRPr="00575EDC">
        <w:rPr>
          <w:rFonts w:ascii="Verdana" w:hAnsi="Verdana"/>
          <w:sz w:val="16"/>
          <w:szCs w:val="19"/>
        </w:rPr>
        <w:t>,</w:t>
      </w:r>
    </w:p>
    <w:p w14:paraId="18C6668B" w14:textId="77777777" w:rsidR="00F011F1" w:rsidRDefault="00F011F1" w:rsidP="00F011F1">
      <w:pPr>
        <w:rPr>
          <w:rFonts w:ascii="Verdana" w:hAnsi="Verdana" w:cs="Verdana"/>
          <w:color w:val="000000"/>
          <w:sz w:val="16"/>
        </w:rPr>
      </w:pPr>
      <w:r w:rsidRPr="00575EDC">
        <w:rPr>
          <w:rFonts w:ascii="Verdana" w:hAnsi="Verdana" w:cs="Verdana"/>
          <w:color w:val="000000"/>
          <w:sz w:val="16"/>
        </w:rPr>
        <w:t>Tel. +39 06 68163206 / 348 0173826</w:t>
      </w:r>
    </w:p>
    <w:p w14:paraId="0E589035" w14:textId="77777777" w:rsidR="00CA127A" w:rsidRDefault="00CA127A" w:rsidP="00CA127A">
      <w:pPr>
        <w:rPr>
          <w:rFonts w:ascii="Verdana" w:hAnsi="Verdana"/>
          <w:sz w:val="16"/>
          <w:szCs w:val="19"/>
        </w:rPr>
      </w:pPr>
      <w:r>
        <w:rPr>
          <w:rFonts w:ascii="Verdana" w:hAnsi="Verdana"/>
          <w:sz w:val="16"/>
          <w:szCs w:val="19"/>
        </w:rPr>
        <w:t>Comunicazione e Stampa DeA Capital Real Estate SGR S.p.A.</w:t>
      </w:r>
    </w:p>
    <w:p w14:paraId="76A0ED15" w14:textId="77777777" w:rsidR="00CA127A" w:rsidRDefault="00CA127A" w:rsidP="00CA127A">
      <w:pPr>
        <w:rPr>
          <w:rFonts w:ascii="Verdana" w:hAnsi="Verdana"/>
          <w:sz w:val="16"/>
          <w:szCs w:val="19"/>
        </w:rPr>
      </w:pPr>
      <w:r w:rsidRPr="00575EDC">
        <w:rPr>
          <w:rFonts w:ascii="Verdana" w:hAnsi="Verdana"/>
          <w:sz w:val="16"/>
          <w:szCs w:val="19"/>
        </w:rPr>
        <w:t xml:space="preserve">Beatrice Mori, </w:t>
      </w:r>
      <w:hyperlink r:id="rId12" w:history="1">
        <w:r w:rsidR="00205954" w:rsidRPr="00D63EAD">
          <w:rPr>
            <w:rStyle w:val="Collegamentoipertestuale"/>
            <w:rFonts w:ascii="Verdana" w:hAnsi="Verdana"/>
            <w:sz w:val="16"/>
            <w:szCs w:val="19"/>
          </w:rPr>
          <w:t>beatrice.mori@deacapital.com</w:t>
        </w:r>
      </w:hyperlink>
    </w:p>
    <w:p w14:paraId="16B448CD" w14:textId="77777777" w:rsidR="00205954" w:rsidRDefault="00205954" w:rsidP="00CA127A">
      <w:pPr>
        <w:rPr>
          <w:rFonts w:ascii="Verdana" w:hAnsi="Verdana"/>
          <w:sz w:val="16"/>
          <w:szCs w:val="19"/>
        </w:rPr>
      </w:pPr>
    </w:p>
    <w:sectPr w:rsidR="00205954" w:rsidSect="005F3E1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7161" w14:textId="77777777" w:rsidR="004B443F" w:rsidRDefault="004B443F" w:rsidP="00241D72">
      <w:r>
        <w:separator/>
      </w:r>
    </w:p>
  </w:endnote>
  <w:endnote w:type="continuationSeparator" w:id="0">
    <w:p w14:paraId="15DC1A4A" w14:textId="77777777" w:rsidR="004B443F" w:rsidRDefault="004B443F" w:rsidP="0024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0D2F" w14:textId="77777777" w:rsidR="004B443F" w:rsidRDefault="004B443F" w:rsidP="00241D72">
      <w:r>
        <w:separator/>
      </w:r>
    </w:p>
  </w:footnote>
  <w:footnote w:type="continuationSeparator" w:id="0">
    <w:p w14:paraId="6F85C6A3" w14:textId="77777777" w:rsidR="004B443F" w:rsidRDefault="004B443F" w:rsidP="0024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B9"/>
    <w:rsid w:val="00010246"/>
    <w:rsid w:val="00021229"/>
    <w:rsid w:val="00024AD5"/>
    <w:rsid w:val="0003540B"/>
    <w:rsid w:val="000405CF"/>
    <w:rsid w:val="000432BE"/>
    <w:rsid w:val="0005173E"/>
    <w:rsid w:val="000637BB"/>
    <w:rsid w:val="00075EB1"/>
    <w:rsid w:val="00081BC4"/>
    <w:rsid w:val="000845E3"/>
    <w:rsid w:val="00090B3C"/>
    <w:rsid w:val="00095658"/>
    <w:rsid w:val="000B0FC9"/>
    <w:rsid w:val="000C6A1A"/>
    <w:rsid w:val="000C6E9D"/>
    <w:rsid w:val="000C7C00"/>
    <w:rsid w:val="000D543B"/>
    <w:rsid w:val="00114009"/>
    <w:rsid w:val="00131C83"/>
    <w:rsid w:val="00141E31"/>
    <w:rsid w:val="00142E2B"/>
    <w:rsid w:val="00143D80"/>
    <w:rsid w:val="00151552"/>
    <w:rsid w:val="001524F4"/>
    <w:rsid w:val="00167206"/>
    <w:rsid w:val="001823BA"/>
    <w:rsid w:val="00185747"/>
    <w:rsid w:val="00191779"/>
    <w:rsid w:val="0019707A"/>
    <w:rsid w:val="001A685D"/>
    <w:rsid w:val="001B4412"/>
    <w:rsid w:val="001C0723"/>
    <w:rsid w:val="001D31E3"/>
    <w:rsid w:val="001E44EB"/>
    <w:rsid w:val="00204BEC"/>
    <w:rsid w:val="00205954"/>
    <w:rsid w:val="00226309"/>
    <w:rsid w:val="0023617D"/>
    <w:rsid w:val="00240272"/>
    <w:rsid w:val="00240B40"/>
    <w:rsid w:val="00241D72"/>
    <w:rsid w:val="0024344C"/>
    <w:rsid w:val="00247EB9"/>
    <w:rsid w:val="002943A1"/>
    <w:rsid w:val="002A4496"/>
    <w:rsid w:val="002B1A23"/>
    <w:rsid w:val="002D5BA0"/>
    <w:rsid w:val="002D6C36"/>
    <w:rsid w:val="002E1954"/>
    <w:rsid w:val="002E2A57"/>
    <w:rsid w:val="002E5C32"/>
    <w:rsid w:val="002F6B79"/>
    <w:rsid w:val="0032606A"/>
    <w:rsid w:val="0033190D"/>
    <w:rsid w:val="003352DC"/>
    <w:rsid w:val="0034789F"/>
    <w:rsid w:val="0036572C"/>
    <w:rsid w:val="003A1391"/>
    <w:rsid w:val="003B58AD"/>
    <w:rsid w:val="003B7E66"/>
    <w:rsid w:val="003E6D0A"/>
    <w:rsid w:val="004124C2"/>
    <w:rsid w:val="00412F4B"/>
    <w:rsid w:val="004252C1"/>
    <w:rsid w:val="00452B3A"/>
    <w:rsid w:val="00482810"/>
    <w:rsid w:val="00482CFD"/>
    <w:rsid w:val="0048301A"/>
    <w:rsid w:val="00484A01"/>
    <w:rsid w:val="004A360B"/>
    <w:rsid w:val="004A6FDB"/>
    <w:rsid w:val="004B443F"/>
    <w:rsid w:val="004C4527"/>
    <w:rsid w:val="004F09E2"/>
    <w:rsid w:val="004F3D5F"/>
    <w:rsid w:val="00505C7E"/>
    <w:rsid w:val="005233D4"/>
    <w:rsid w:val="00535343"/>
    <w:rsid w:val="00560836"/>
    <w:rsid w:val="005629B9"/>
    <w:rsid w:val="00566F8D"/>
    <w:rsid w:val="00567893"/>
    <w:rsid w:val="00570404"/>
    <w:rsid w:val="00581E29"/>
    <w:rsid w:val="00594510"/>
    <w:rsid w:val="005C05A2"/>
    <w:rsid w:val="005D0326"/>
    <w:rsid w:val="005D10D3"/>
    <w:rsid w:val="005E5FE6"/>
    <w:rsid w:val="005E61E9"/>
    <w:rsid w:val="005F3E13"/>
    <w:rsid w:val="005F7EC4"/>
    <w:rsid w:val="00612A6C"/>
    <w:rsid w:val="006140C6"/>
    <w:rsid w:val="00622D9D"/>
    <w:rsid w:val="00626AE3"/>
    <w:rsid w:val="00630C0B"/>
    <w:rsid w:val="0064320F"/>
    <w:rsid w:val="006508C0"/>
    <w:rsid w:val="00676553"/>
    <w:rsid w:val="006C1EC3"/>
    <w:rsid w:val="006D4E67"/>
    <w:rsid w:val="006E4B88"/>
    <w:rsid w:val="006F018C"/>
    <w:rsid w:val="006F6DB5"/>
    <w:rsid w:val="007061F2"/>
    <w:rsid w:val="00713BBB"/>
    <w:rsid w:val="00723ACA"/>
    <w:rsid w:val="00737149"/>
    <w:rsid w:val="00743893"/>
    <w:rsid w:val="00744A15"/>
    <w:rsid w:val="007465A0"/>
    <w:rsid w:val="00752F21"/>
    <w:rsid w:val="0076396B"/>
    <w:rsid w:val="00775886"/>
    <w:rsid w:val="00782A7A"/>
    <w:rsid w:val="00783522"/>
    <w:rsid w:val="00785B5E"/>
    <w:rsid w:val="007A7056"/>
    <w:rsid w:val="007A72D5"/>
    <w:rsid w:val="007B2DA4"/>
    <w:rsid w:val="007C112F"/>
    <w:rsid w:val="007C6BCC"/>
    <w:rsid w:val="007E4FAF"/>
    <w:rsid w:val="007E63FD"/>
    <w:rsid w:val="007F4300"/>
    <w:rsid w:val="007F4CD4"/>
    <w:rsid w:val="00801DAC"/>
    <w:rsid w:val="00816EAC"/>
    <w:rsid w:val="00822355"/>
    <w:rsid w:val="00824FF3"/>
    <w:rsid w:val="00827355"/>
    <w:rsid w:val="0083665A"/>
    <w:rsid w:val="008459A9"/>
    <w:rsid w:val="00852111"/>
    <w:rsid w:val="00853359"/>
    <w:rsid w:val="00860810"/>
    <w:rsid w:val="00860BC8"/>
    <w:rsid w:val="00876253"/>
    <w:rsid w:val="00881548"/>
    <w:rsid w:val="0088218F"/>
    <w:rsid w:val="00897BC9"/>
    <w:rsid w:val="008A5369"/>
    <w:rsid w:val="008D2EF2"/>
    <w:rsid w:val="008F1C1C"/>
    <w:rsid w:val="0090157B"/>
    <w:rsid w:val="00913086"/>
    <w:rsid w:val="009267D7"/>
    <w:rsid w:val="009448ED"/>
    <w:rsid w:val="00974AB6"/>
    <w:rsid w:val="0097673E"/>
    <w:rsid w:val="00986EC7"/>
    <w:rsid w:val="009B3B0E"/>
    <w:rsid w:val="009C1812"/>
    <w:rsid w:val="009E1FFD"/>
    <w:rsid w:val="009F7EE2"/>
    <w:rsid w:val="00A049BA"/>
    <w:rsid w:val="00A16CB8"/>
    <w:rsid w:val="00A2323B"/>
    <w:rsid w:val="00A63831"/>
    <w:rsid w:val="00A67A49"/>
    <w:rsid w:val="00A706DB"/>
    <w:rsid w:val="00A76A55"/>
    <w:rsid w:val="00A866C2"/>
    <w:rsid w:val="00AB363D"/>
    <w:rsid w:val="00AD3908"/>
    <w:rsid w:val="00AD5609"/>
    <w:rsid w:val="00AE0D97"/>
    <w:rsid w:val="00AE7629"/>
    <w:rsid w:val="00AF04AC"/>
    <w:rsid w:val="00AF2FD9"/>
    <w:rsid w:val="00B13274"/>
    <w:rsid w:val="00B4038C"/>
    <w:rsid w:val="00B45570"/>
    <w:rsid w:val="00B578D9"/>
    <w:rsid w:val="00B8067C"/>
    <w:rsid w:val="00B83E5A"/>
    <w:rsid w:val="00B972B3"/>
    <w:rsid w:val="00BA231D"/>
    <w:rsid w:val="00BC0B18"/>
    <w:rsid w:val="00BC6A33"/>
    <w:rsid w:val="00BD6779"/>
    <w:rsid w:val="00BE07D4"/>
    <w:rsid w:val="00BF0ABE"/>
    <w:rsid w:val="00BF0E8F"/>
    <w:rsid w:val="00BF5553"/>
    <w:rsid w:val="00C023DE"/>
    <w:rsid w:val="00C05F45"/>
    <w:rsid w:val="00C17BBD"/>
    <w:rsid w:val="00C21B8E"/>
    <w:rsid w:val="00C2279D"/>
    <w:rsid w:val="00C264DC"/>
    <w:rsid w:val="00C32CF4"/>
    <w:rsid w:val="00C43252"/>
    <w:rsid w:val="00C4653A"/>
    <w:rsid w:val="00C54971"/>
    <w:rsid w:val="00C7552F"/>
    <w:rsid w:val="00C7654A"/>
    <w:rsid w:val="00C84BE2"/>
    <w:rsid w:val="00C86F13"/>
    <w:rsid w:val="00C97B45"/>
    <w:rsid w:val="00CA127A"/>
    <w:rsid w:val="00CA2E0B"/>
    <w:rsid w:val="00CC2CE6"/>
    <w:rsid w:val="00CF15C6"/>
    <w:rsid w:val="00CF215C"/>
    <w:rsid w:val="00CF6BC9"/>
    <w:rsid w:val="00D06414"/>
    <w:rsid w:val="00D112EF"/>
    <w:rsid w:val="00D14455"/>
    <w:rsid w:val="00D14803"/>
    <w:rsid w:val="00D34A9F"/>
    <w:rsid w:val="00D41E0F"/>
    <w:rsid w:val="00D50499"/>
    <w:rsid w:val="00D66DD8"/>
    <w:rsid w:val="00D74861"/>
    <w:rsid w:val="00D77004"/>
    <w:rsid w:val="00D77ED9"/>
    <w:rsid w:val="00D925CA"/>
    <w:rsid w:val="00D925EC"/>
    <w:rsid w:val="00DC1667"/>
    <w:rsid w:val="00DD6425"/>
    <w:rsid w:val="00DE43E4"/>
    <w:rsid w:val="00DE4911"/>
    <w:rsid w:val="00DF0633"/>
    <w:rsid w:val="00DF310A"/>
    <w:rsid w:val="00E03BFE"/>
    <w:rsid w:val="00E044AF"/>
    <w:rsid w:val="00E06D2B"/>
    <w:rsid w:val="00E11831"/>
    <w:rsid w:val="00E16283"/>
    <w:rsid w:val="00E269B7"/>
    <w:rsid w:val="00E43074"/>
    <w:rsid w:val="00E51E22"/>
    <w:rsid w:val="00E60483"/>
    <w:rsid w:val="00E704B6"/>
    <w:rsid w:val="00E8115E"/>
    <w:rsid w:val="00E93A05"/>
    <w:rsid w:val="00E96A5B"/>
    <w:rsid w:val="00EA159D"/>
    <w:rsid w:val="00EA4F93"/>
    <w:rsid w:val="00EC1188"/>
    <w:rsid w:val="00EC13D5"/>
    <w:rsid w:val="00EC6CC3"/>
    <w:rsid w:val="00ED7AE9"/>
    <w:rsid w:val="00EF0D08"/>
    <w:rsid w:val="00F011F1"/>
    <w:rsid w:val="00F15ABF"/>
    <w:rsid w:val="00F24A2C"/>
    <w:rsid w:val="00F3494B"/>
    <w:rsid w:val="00F36447"/>
    <w:rsid w:val="00F436AF"/>
    <w:rsid w:val="00F46D14"/>
    <w:rsid w:val="00F475E4"/>
    <w:rsid w:val="00F5267C"/>
    <w:rsid w:val="00F83468"/>
    <w:rsid w:val="00F83559"/>
    <w:rsid w:val="00F9037D"/>
    <w:rsid w:val="00F9153E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7BFA5"/>
  <w15:chartTrackingRefBased/>
  <w15:docId w15:val="{DE5FC4A5-65BF-4C72-ABD7-31EFB331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1F1"/>
    <w:rPr>
      <w:rFonts w:ascii="Times" w:eastAsia="Times" w:hAnsi="Times"/>
      <w:sz w:val="24"/>
      <w:szCs w:val="20"/>
      <w:lang w:eastAsia="it-IT"/>
    </w:rPr>
  </w:style>
  <w:style w:type="paragraph" w:styleId="Titolo1">
    <w:name w:val="heading 1"/>
    <w:aliases w:val="Capitolo,t1,Part,Tempo Heading 1"/>
    <w:basedOn w:val="Normale"/>
    <w:next w:val="Normale"/>
    <w:link w:val="Titolo1Carattere"/>
    <w:uiPriority w:val="9"/>
    <w:qFormat/>
    <w:rsid w:val="00F475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75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475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itolo4">
    <w:name w:val="heading 4"/>
    <w:aliases w:val="Map Title (Topic),Tempo Heading 4"/>
    <w:basedOn w:val="Normale"/>
    <w:next w:val="Normale"/>
    <w:link w:val="Titolo4Carattere"/>
    <w:uiPriority w:val="9"/>
    <w:unhideWhenUsed/>
    <w:qFormat/>
    <w:rsid w:val="00F475E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Titolo5">
    <w:name w:val="heading 5"/>
    <w:aliases w:val="Heading 5 Block Label,Tempo Heading 5"/>
    <w:basedOn w:val="Normale"/>
    <w:next w:val="Normale"/>
    <w:link w:val="Titolo5Carattere"/>
    <w:uiPriority w:val="9"/>
    <w:unhideWhenUsed/>
    <w:qFormat/>
    <w:rsid w:val="00F475E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475E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475E4"/>
    <w:pPr>
      <w:spacing w:before="240" w:after="60"/>
      <w:outlineLvl w:val="6"/>
    </w:pPr>
    <w:rPr>
      <w:rFonts w:asciiTheme="minorHAnsi" w:eastAsiaTheme="minorHAnsi" w:hAnsiTheme="minorHAnsi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475E4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F475E4"/>
    <w:pPr>
      <w:spacing w:before="240" w:after="60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Capitolo Carattere,t1 Carattere,Part Carattere,Tempo Heading 1 Carattere"/>
    <w:link w:val="Titolo1"/>
    <w:uiPriority w:val="9"/>
    <w:rsid w:val="00F475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F475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F475E4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aliases w:val="Map Title (Topic) Carattere,Tempo Heading 4 Carattere"/>
    <w:link w:val="Titolo4"/>
    <w:uiPriority w:val="9"/>
    <w:rsid w:val="00F475E4"/>
    <w:rPr>
      <w:b/>
      <w:bCs/>
      <w:sz w:val="28"/>
      <w:szCs w:val="28"/>
    </w:rPr>
  </w:style>
  <w:style w:type="character" w:customStyle="1" w:styleId="Titolo5Carattere">
    <w:name w:val="Titolo 5 Carattere"/>
    <w:aliases w:val="Heading 5 Block Label Carattere,Tempo Heading 5 Carattere"/>
    <w:link w:val="Titolo5"/>
    <w:uiPriority w:val="9"/>
    <w:rsid w:val="00F475E4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rsid w:val="00F475E4"/>
    <w:rPr>
      <w:b/>
      <w:bCs/>
    </w:rPr>
  </w:style>
  <w:style w:type="character" w:customStyle="1" w:styleId="Titolo7Carattere">
    <w:name w:val="Titolo 7 Carattere"/>
    <w:link w:val="Titolo7"/>
    <w:uiPriority w:val="9"/>
    <w:rsid w:val="00F475E4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F475E4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rsid w:val="00F475E4"/>
    <w:rPr>
      <w:rFonts w:ascii="Cambria" w:eastAsia="Times New Roman" w:hAnsi="Cambria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75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F475E4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75E4"/>
    <w:pPr>
      <w:spacing w:after="60"/>
      <w:jc w:val="center"/>
      <w:outlineLvl w:val="1"/>
    </w:pPr>
    <w:rPr>
      <w:rFonts w:ascii="Cambria" w:eastAsia="Times New Roman" w:hAnsi="Cambria"/>
      <w:szCs w:val="24"/>
      <w:lang w:eastAsia="en-US"/>
    </w:rPr>
  </w:style>
  <w:style w:type="character" w:customStyle="1" w:styleId="SottotitoloCarattere">
    <w:name w:val="Sottotitolo Carattere"/>
    <w:link w:val="Sottotitolo"/>
    <w:uiPriority w:val="11"/>
    <w:rsid w:val="00F475E4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F475E4"/>
    <w:rPr>
      <w:b/>
      <w:bCs/>
    </w:rPr>
  </w:style>
  <w:style w:type="character" w:styleId="Enfasicorsivo">
    <w:name w:val="Emphasis"/>
    <w:uiPriority w:val="20"/>
    <w:qFormat/>
    <w:rsid w:val="00F475E4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F475E4"/>
    <w:rPr>
      <w:rFonts w:asciiTheme="minorHAnsi" w:eastAsiaTheme="minorHAnsi" w:hAnsiTheme="minorHAnsi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F475E4"/>
    <w:pPr>
      <w:ind w:left="720"/>
      <w:contextualSpacing/>
    </w:pPr>
    <w:rPr>
      <w:rFonts w:asciiTheme="minorHAnsi" w:eastAsiaTheme="minorHAnsi" w:hAnsiTheme="minorHAnsi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75E4"/>
    <w:rPr>
      <w:rFonts w:asciiTheme="minorHAnsi" w:eastAsiaTheme="minorHAnsi" w:hAnsiTheme="minorHAnsi"/>
      <w:i/>
      <w:szCs w:val="24"/>
      <w:lang w:eastAsia="en-US"/>
    </w:rPr>
  </w:style>
  <w:style w:type="character" w:customStyle="1" w:styleId="CitazioneCarattere">
    <w:name w:val="Citazione Carattere"/>
    <w:link w:val="Citazione"/>
    <w:uiPriority w:val="29"/>
    <w:rsid w:val="00F475E4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75E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itazioneintensaCarattere">
    <w:name w:val="Citazione intensa Carattere"/>
    <w:link w:val="Citazioneintensa"/>
    <w:uiPriority w:val="30"/>
    <w:rsid w:val="00F475E4"/>
    <w:rPr>
      <w:b/>
      <w:i/>
      <w:sz w:val="24"/>
    </w:rPr>
  </w:style>
  <w:style w:type="character" w:styleId="Enfasidelicata">
    <w:name w:val="Subtle Emphasis"/>
    <w:uiPriority w:val="19"/>
    <w:qFormat/>
    <w:rsid w:val="00F475E4"/>
    <w:rPr>
      <w:i/>
      <w:color w:val="5A5A5A"/>
    </w:rPr>
  </w:style>
  <w:style w:type="character" w:styleId="Enfasiintensa">
    <w:name w:val="Intense Emphasis"/>
    <w:uiPriority w:val="21"/>
    <w:qFormat/>
    <w:rsid w:val="00F475E4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F475E4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F475E4"/>
    <w:rPr>
      <w:b/>
      <w:sz w:val="24"/>
      <w:u w:val="single"/>
    </w:rPr>
  </w:style>
  <w:style w:type="character" w:styleId="Titolodellibro">
    <w:name w:val="Book Title"/>
    <w:uiPriority w:val="33"/>
    <w:qFormat/>
    <w:rsid w:val="00F475E4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475E4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241D72"/>
    <w:pPr>
      <w:tabs>
        <w:tab w:val="center" w:pos="4819"/>
        <w:tab w:val="right" w:pos="9638"/>
      </w:tabs>
    </w:pPr>
    <w:rPr>
      <w:rFonts w:asciiTheme="minorHAnsi" w:eastAsiaTheme="minorHAnsi" w:hAnsiTheme="minorHAns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D7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41D72"/>
    <w:pPr>
      <w:tabs>
        <w:tab w:val="center" w:pos="4819"/>
        <w:tab w:val="right" w:pos="9638"/>
      </w:tabs>
    </w:pPr>
    <w:rPr>
      <w:rFonts w:asciiTheme="minorHAnsi" w:eastAsiaTheme="minorHAnsi" w:hAnsiTheme="minorHAns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D72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011F1"/>
    <w:pPr>
      <w:jc w:val="both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011F1"/>
    <w:rPr>
      <w:rFonts w:ascii="Times" w:eastAsia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1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18F"/>
    <w:rPr>
      <w:rFonts w:ascii="Segoe UI" w:eastAsia="Times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rsid w:val="00CF215C"/>
    <w:rPr>
      <w:rFonts w:cs="Times New Roman"/>
      <w:color w:val="0000FF"/>
      <w:u w:val="single"/>
    </w:rPr>
  </w:style>
  <w:style w:type="paragraph" w:customStyle="1" w:styleId="Noparagraphstyle">
    <w:name w:val="[No paragraph style]"/>
    <w:rsid w:val="0024344C"/>
    <w:pPr>
      <w:autoSpaceDE w:val="0"/>
      <w:autoSpaceDN w:val="0"/>
      <w:adjustRightInd w:val="0"/>
      <w:spacing w:before="200" w:after="200"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0B0F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0FC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0FC9"/>
    <w:rPr>
      <w:rFonts w:ascii="Times" w:eastAsia="Times" w:hAnsi="Time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0F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0FC9"/>
    <w:rPr>
      <w:rFonts w:ascii="Times" w:eastAsia="Times" w:hAnsi="Times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267D7"/>
    <w:rPr>
      <w:rFonts w:ascii="Times" w:eastAsia="Times" w:hAnsi="Times"/>
      <w:sz w:val="24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5954"/>
    <w:rPr>
      <w:color w:val="605E5C"/>
      <w:shd w:val="clear" w:color="auto" w:fill="E1DFDD"/>
    </w:rPr>
  </w:style>
  <w:style w:type="paragraph" w:customStyle="1" w:styleId="Default">
    <w:name w:val="Default"/>
    <w:rsid w:val="00D14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atrice.mori@deacapita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co.scopigno@deacapita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927D45DBC43E4DB283E57F3B0846FC" ma:contentTypeVersion="13" ma:contentTypeDescription="Creare un nuovo documento." ma:contentTypeScope="" ma:versionID="4186b2834bcc41b33722ab124c5b09d7">
  <xsd:schema xmlns:xsd="http://www.w3.org/2001/XMLSchema" xmlns:xs="http://www.w3.org/2001/XMLSchema" xmlns:p="http://schemas.microsoft.com/office/2006/metadata/properties" xmlns:ns2="7f71769a-89aa-4063-acfa-e3c30f212690" xmlns:ns3="0beb0d0a-1991-42d6-b613-a230eef8ecba" targetNamespace="http://schemas.microsoft.com/office/2006/metadata/properties" ma:root="true" ma:fieldsID="edfb1a2bc3dc8ada05f4c91c48bfd496" ns2:_="" ns3:_="">
    <xsd:import namespace="7f71769a-89aa-4063-acfa-e3c30f212690"/>
    <xsd:import namespace="0beb0d0a-1991-42d6-b613-a230eef8e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1769a-89aa-4063-acfa-e3c30f212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0d0a-1991-42d6-b613-a230eef8e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F5FD-443C-45F6-9CA0-4FF43B52F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6EF7F-2A5D-4208-A132-ECD9F096A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02762-0846-41CD-89B4-7315AEB59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1769a-89aa-4063-acfa-e3c30f212690"/>
    <ds:schemaRef ds:uri="0beb0d0a-1991-42d6-b613-a230eef8e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E6753-7198-4866-B298-1375243A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Alessandro</dc:creator>
  <cp:keywords/>
  <dc:description/>
  <cp:lastModifiedBy>Scopigno Marco</cp:lastModifiedBy>
  <cp:revision>2</cp:revision>
  <cp:lastPrinted>2021-10-01T07:57:00Z</cp:lastPrinted>
  <dcterms:created xsi:type="dcterms:W3CDTF">2022-05-03T08:06:00Z</dcterms:created>
  <dcterms:modified xsi:type="dcterms:W3CDTF">2022-05-03T08:06:00Z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2021-12-15T16:25:00Z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0adf9c49-9460-44e4-af80-b122874f398b</vt:lpwstr>
  </property>
  <property fmtid="{D5CDD505-2E9C-101B-9397-08002B2CF9AE}" pid="8" name="MSIP_Label_29db9e61-aac5-4f6e-805d-ceb8cb9983a1_ContentBits">
    <vt:lpwstr>0</vt:lpwstr>
  </property>
  <property fmtid="{D5CDD505-2E9C-101B-9397-08002B2CF9AE}" pid="9" name="ContentTypeId">
    <vt:lpwstr>0x01010071927D45DBC43E4DB283E57F3B0846FC</vt:lpwstr>
  </property>
</Properties>
</file>