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98EEC" w14:textId="2729E598" w:rsidR="00CD336F" w:rsidRDefault="0031137E">
      <w:pPr>
        <w:spacing w:line="360" w:lineRule="auto"/>
        <w:jc w:val="both"/>
        <w:rPr>
          <w:rFonts w:ascii="Verdana" w:eastAsia="Verdana" w:hAnsi="Verdana" w:cs="Verdana"/>
          <w:b/>
          <w:i/>
          <w:sz w:val="22"/>
          <w:szCs w:val="22"/>
        </w:rPr>
      </w:pPr>
      <w:r w:rsidRPr="006133F9">
        <w:rPr>
          <w:rFonts w:ascii="Verdana" w:eastAsia="Verdana" w:hAnsi="Verdana" w:cs="Verdana"/>
          <w:b/>
          <w:i/>
          <w:noProof/>
          <w:sz w:val="22"/>
          <w:szCs w:val="22"/>
          <w:lang w:val="en-GB" w:eastAsia="en-GB"/>
        </w:rPr>
        <w:drawing>
          <wp:anchor distT="0" distB="0" distL="114300" distR="114300" simplePos="0" relativeHeight="251659264" behindDoc="0" locked="0" layoutInCell="1" allowOverlap="1" wp14:anchorId="4692087A" wp14:editId="7E6B8CD5">
            <wp:simplePos x="0" y="0"/>
            <wp:positionH relativeFrom="margin">
              <wp:align>center</wp:align>
            </wp:positionH>
            <wp:positionV relativeFrom="paragraph">
              <wp:posOffset>0</wp:posOffset>
            </wp:positionV>
            <wp:extent cx="2099310" cy="895350"/>
            <wp:effectExtent l="0" t="0" r="0" b="0"/>
            <wp:wrapSquare wrapText="bothSides"/>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099310" cy="895350"/>
                    </a:xfrm>
                    <a:prstGeom prst="rect">
                      <a:avLst/>
                    </a:prstGeom>
                    <a:ln/>
                  </pic:spPr>
                </pic:pic>
              </a:graphicData>
            </a:graphic>
          </wp:anchor>
        </w:drawing>
      </w:r>
    </w:p>
    <w:p w14:paraId="0D59D270" w14:textId="77777777" w:rsidR="00156FB8" w:rsidRPr="006133F9" w:rsidRDefault="00156FB8">
      <w:pPr>
        <w:spacing w:line="360" w:lineRule="auto"/>
        <w:jc w:val="both"/>
        <w:rPr>
          <w:rFonts w:ascii="Verdana" w:eastAsia="Verdana" w:hAnsi="Verdana" w:cs="Verdana"/>
          <w:b/>
          <w:i/>
          <w:sz w:val="22"/>
          <w:szCs w:val="22"/>
        </w:rPr>
      </w:pPr>
    </w:p>
    <w:p w14:paraId="607CCE2C" w14:textId="23904B80" w:rsidR="00CD336F" w:rsidRDefault="00CD336F">
      <w:pPr>
        <w:spacing w:line="360" w:lineRule="auto"/>
        <w:jc w:val="both"/>
        <w:rPr>
          <w:rFonts w:ascii="Verdana" w:eastAsia="Verdana" w:hAnsi="Verdana" w:cs="Verdana"/>
          <w:b/>
          <w:i/>
          <w:sz w:val="22"/>
          <w:szCs w:val="22"/>
        </w:rPr>
      </w:pPr>
    </w:p>
    <w:p w14:paraId="2130495E" w14:textId="539FFD13" w:rsidR="00122792" w:rsidRDefault="00122792">
      <w:pPr>
        <w:spacing w:line="360" w:lineRule="auto"/>
        <w:jc w:val="both"/>
        <w:rPr>
          <w:rFonts w:ascii="Verdana" w:eastAsia="Verdana" w:hAnsi="Verdana" w:cs="Verdana"/>
          <w:b/>
          <w:i/>
          <w:sz w:val="22"/>
          <w:szCs w:val="22"/>
        </w:rPr>
      </w:pPr>
    </w:p>
    <w:p w14:paraId="5A00A082" w14:textId="77777777" w:rsidR="00044026" w:rsidRPr="006133F9" w:rsidRDefault="00044026">
      <w:pPr>
        <w:spacing w:line="360" w:lineRule="auto"/>
        <w:jc w:val="center"/>
        <w:rPr>
          <w:rFonts w:ascii="Verdana" w:eastAsia="Verdana" w:hAnsi="Verdana" w:cs="Verdana"/>
          <w:b/>
          <w:i/>
          <w:sz w:val="22"/>
          <w:szCs w:val="22"/>
        </w:rPr>
      </w:pPr>
    </w:p>
    <w:p w14:paraId="6D77CB6A" w14:textId="6CE9E443" w:rsidR="00CD336F" w:rsidRPr="006133F9" w:rsidRDefault="00C16CE2">
      <w:pPr>
        <w:spacing w:line="360" w:lineRule="auto"/>
        <w:jc w:val="center"/>
        <w:rPr>
          <w:rFonts w:ascii="Verdana" w:eastAsia="Verdana" w:hAnsi="Verdana" w:cs="Verdana"/>
          <w:b/>
          <w:sz w:val="22"/>
          <w:szCs w:val="22"/>
          <w:u w:val="single"/>
        </w:rPr>
      </w:pPr>
      <w:r w:rsidRPr="006133F9">
        <w:rPr>
          <w:rFonts w:ascii="Verdana" w:eastAsia="Verdana" w:hAnsi="Verdana" w:cs="Verdana"/>
          <w:b/>
          <w:i/>
          <w:sz w:val="22"/>
          <w:szCs w:val="22"/>
        </w:rPr>
        <w:t>COMUNICATO STAMPA</w:t>
      </w:r>
      <w:r w:rsidR="008542ED">
        <w:rPr>
          <w:rFonts w:ascii="Verdana" w:eastAsia="Verdana" w:hAnsi="Verdana" w:cs="Verdana"/>
          <w:b/>
          <w:i/>
          <w:sz w:val="22"/>
          <w:szCs w:val="22"/>
        </w:rPr>
        <w:t xml:space="preserve"> </w:t>
      </w:r>
    </w:p>
    <w:p w14:paraId="2EF7BF6D" w14:textId="77777777" w:rsidR="00156FB8" w:rsidRDefault="00156FB8" w:rsidP="00897528">
      <w:pPr>
        <w:spacing w:line="360" w:lineRule="auto"/>
        <w:jc w:val="center"/>
        <w:rPr>
          <w:rFonts w:ascii="Verdana" w:eastAsia="Verdana" w:hAnsi="Verdana" w:cs="Verdana"/>
          <w:b/>
          <w:sz w:val="28"/>
          <w:szCs w:val="28"/>
        </w:rPr>
      </w:pPr>
    </w:p>
    <w:p w14:paraId="6CE49F05" w14:textId="65076306" w:rsidR="00897528" w:rsidRPr="00897528" w:rsidRDefault="00897528" w:rsidP="00897528">
      <w:pPr>
        <w:spacing w:line="360" w:lineRule="auto"/>
        <w:jc w:val="center"/>
        <w:rPr>
          <w:rFonts w:ascii="Verdana" w:eastAsia="Verdana" w:hAnsi="Verdana" w:cs="Verdana"/>
          <w:b/>
          <w:sz w:val="28"/>
          <w:szCs w:val="28"/>
        </w:rPr>
      </w:pPr>
      <w:r w:rsidRPr="00897528">
        <w:rPr>
          <w:rFonts w:ascii="Verdana" w:eastAsia="Verdana" w:hAnsi="Verdana" w:cs="Verdana"/>
          <w:b/>
          <w:sz w:val="28"/>
          <w:szCs w:val="28"/>
        </w:rPr>
        <w:t>Il Comparto Shipping del Fondo IDeA CCR II, gestito da DeA Capital Alternative Funds SGR,</w:t>
      </w:r>
      <w:r>
        <w:rPr>
          <w:rFonts w:ascii="Verdana" w:eastAsia="Verdana" w:hAnsi="Verdana" w:cs="Verdana"/>
          <w:b/>
          <w:sz w:val="28"/>
          <w:szCs w:val="28"/>
        </w:rPr>
        <w:t xml:space="preserve"> </w:t>
      </w:r>
      <w:r w:rsidRPr="00897528">
        <w:rPr>
          <w:rFonts w:ascii="Verdana" w:eastAsia="Verdana" w:hAnsi="Verdana" w:cs="Verdana"/>
          <w:b/>
          <w:sz w:val="28"/>
          <w:szCs w:val="28"/>
        </w:rPr>
        <w:t xml:space="preserve">cede una flotta di </w:t>
      </w:r>
      <w:proofErr w:type="gramStart"/>
      <w:r w:rsidRPr="00897528">
        <w:rPr>
          <w:rFonts w:ascii="Verdana" w:eastAsia="Verdana" w:hAnsi="Verdana" w:cs="Verdana"/>
          <w:b/>
          <w:sz w:val="28"/>
          <w:szCs w:val="28"/>
        </w:rPr>
        <w:t>6</w:t>
      </w:r>
      <w:proofErr w:type="gramEnd"/>
      <w:r w:rsidRPr="00897528">
        <w:rPr>
          <w:rFonts w:ascii="Verdana" w:eastAsia="Verdana" w:hAnsi="Verdana" w:cs="Verdana"/>
          <w:b/>
          <w:sz w:val="28"/>
          <w:szCs w:val="28"/>
        </w:rPr>
        <w:t xml:space="preserve"> navi al Gruppo</w:t>
      </w:r>
      <w:r w:rsidR="00346F0B">
        <w:rPr>
          <w:rFonts w:ascii="Verdana" w:eastAsia="Verdana" w:hAnsi="Verdana" w:cs="Verdana"/>
          <w:b/>
          <w:sz w:val="28"/>
          <w:szCs w:val="28"/>
        </w:rPr>
        <w:t xml:space="preserve"> </w:t>
      </w:r>
      <w:r w:rsidR="008857D0">
        <w:rPr>
          <w:rFonts w:ascii="Verdana" w:eastAsia="Verdana" w:hAnsi="Verdana" w:cs="Verdana"/>
          <w:b/>
          <w:sz w:val="28"/>
          <w:szCs w:val="28"/>
        </w:rPr>
        <w:t xml:space="preserve">Montanari </w:t>
      </w:r>
      <w:r w:rsidRPr="00897528">
        <w:rPr>
          <w:rFonts w:ascii="Verdana" w:eastAsia="Verdana" w:hAnsi="Verdana" w:cs="Verdana"/>
          <w:b/>
          <w:sz w:val="28"/>
          <w:szCs w:val="28"/>
        </w:rPr>
        <w:t>di Fano.</w:t>
      </w:r>
    </w:p>
    <w:p w14:paraId="490F8CD6" w14:textId="6F2B867A" w:rsidR="00CD336F" w:rsidRPr="006133F9" w:rsidRDefault="00897528" w:rsidP="00897528">
      <w:pPr>
        <w:spacing w:line="360" w:lineRule="auto"/>
        <w:jc w:val="center"/>
        <w:rPr>
          <w:rFonts w:ascii="Verdana" w:eastAsia="Verdana" w:hAnsi="Verdana" w:cs="Verdana"/>
          <w:b/>
          <w:sz w:val="22"/>
          <w:szCs w:val="22"/>
          <w:u w:val="single"/>
        </w:rPr>
      </w:pPr>
      <w:r w:rsidRPr="00897528">
        <w:rPr>
          <w:rFonts w:ascii="Verdana" w:eastAsia="Verdana" w:hAnsi="Verdana" w:cs="Verdana"/>
          <w:b/>
          <w:sz w:val="28"/>
          <w:szCs w:val="28"/>
        </w:rPr>
        <w:t>Valore complessivo dell’operazione: $108</w:t>
      </w:r>
      <w:r>
        <w:rPr>
          <w:rFonts w:ascii="Verdana" w:eastAsia="Verdana" w:hAnsi="Verdana" w:cs="Verdana"/>
          <w:b/>
          <w:sz w:val="28"/>
          <w:szCs w:val="28"/>
        </w:rPr>
        <w:t xml:space="preserve"> </w:t>
      </w:r>
      <w:r w:rsidRPr="00897528">
        <w:rPr>
          <w:rFonts w:ascii="Verdana" w:eastAsia="Verdana" w:hAnsi="Verdana" w:cs="Verdana"/>
          <w:b/>
          <w:sz w:val="28"/>
          <w:szCs w:val="28"/>
        </w:rPr>
        <w:t>m</w:t>
      </w:r>
      <w:r>
        <w:rPr>
          <w:rFonts w:ascii="Verdana" w:eastAsia="Verdana" w:hAnsi="Verdana" w:cs="Verdana"/>
          <w:b/>
          <w:sz w:val="28"/>
          <w:szCs w:val="28"/>
        </w:rPr>
        <w:t>ilioni</w:t>
      </w:r>
    </w:p>
    <w:p w14:paraId="749ACED9" w14:textId="77777777" w:rsidR="00CD336F" w:rsidRPr="006133F9" w:rsidRDefault="00CD336F">
      <w:pPr>
        <w:spacing w:line="360" w:lineRule="auto"/>
        <w:jc w:val="both"/>
        <w:rPr>
          <w:rFonts w:ascii="Verdana" w:eastAsia="Verdana" w:hAnsi="Verdana" w:cs="Verdana"/>
          <w:b/>
          <w:sz w:val="22"/>
          <w:szCs w:val="22"/>
          <w:u w:val="single"/>
        </w:rPr>
      </w:pPr>
    </w:p>
    <w:p w14:paraId="70B02989" w14:textId="56BA5EA8" w:rsidR="00CD336F" w:rsidRDefault="00C16CE2" w:rsidP="00897528">
      <w:pPr>
        <w:spacing w:line="360" w:lineRule="auto"/>
        <w:jc w:val="both"/>
        <w:rPr>
          <w:rFonts w:ascii="Verdana" w:eastAsia="Verdana" w:hAnsi="Verdana" w:cs="Verdana"/>
          <w:sz w:val="22"/>
          <w:szCs w:val="22"/>
        </w:rPr>
      </w:pPr>
      <w:r w:rsidRPr="003078BD">
        <w:rPr>
          <w:rFonts w:ascii="Verdana" w:eastAsia="Verdana" w:hAnsi="Verdana" w:cs="Verdana"/>
          <w:iCs/>
          <w:sz w:val="22"/>
          <w:szCs w:val="22"/>
        </w:rPr>
        <w:t>Milano,</w:t>
      </w:r>
      <w:r w:rsidR="00696B60" w:rsidRPr="003078BD">
        <w:rPr>
          <w:rFonts w:ascii="Verdana" w:eastAsia="Verdana" w:hAnsi="Verdana" w:cs="Verdana"/>
          <w:iCs/>
          <w:sz w:val="22"/>
          <w:szCs w:val="22"/>
        </w:rPr>
        <w:t xml:space="preserve"> </w:t>
      </w:r>
      <w:r w:rsidR="004675CF">
        <w:rPr>
          <w:rFonts w:ascii="Verdana" w:eastAsia="Verdana" w:hAnsi="Verdana" w:cs="Verdana"/>
          <w:iCs/>
          <w:sz w:val="22"/>
          <w:szCs w:val="22"/>
        </w:rPr>
        <w:t>12 maggio</w:t>
      </w:r>
      <w:r w:rsidR="003B2EB1" w:rsidRPr="003078BD">
        <w:rPr>
          <w:rFonts w:ascii="Verdana" w:eastAsia="Verdana" w:hAnsi="Verdana" w:cs="Verdana"/>
          <w:iCs/>
          <w:sz w:val="22"/>
          <w:szCs w:val="22"/>
        </w:rPr>
        <w:t xml:space="preserve"> </w:t>
      </w:r>
      <w:r w:rsidRPr="003078BD">
        <w:rPr>
          <w:rFonts w:ascii="Verdana" w:eastAsia="Verdana" w:hAnsi="Verdana" w:cs="Verdana"/>
          <w:iCs/>
          <w:sz w:val="22"/>
          <w:szCs w:val="22"/>
        </w:rPr>
        <w:t>20</w:t>
      </w:r>
      <w:r w:rsidR="00044026" w:rsidRPr="003078BD">
        <w:rPr>
          <w:rFonts w:ascii="Verdana" w:eastAsia="Verdana" w:hAnsi="Verdana" w:cs="Verdana"/>
          <w:iCs/>
          <w:sz w:val="22"/>
          <w:szCs w:val="22"/>
        </w:rPr>
        <w:t>2</w:t>
      </w:r>
      <w:r w:rsidR="00897528">
        <w:rPr>
          <w:rFonts w:ascii="Verdana" w:eastAsia="Verdana" w:hAnsi="Verdana" w:cs="Verdana"/>
          <w:iCs/>
          <w:sz w:val="22"/>
          <w:szCs w:val="22"/>
        </w:rPr>
        <w:t>2</w:t>
      </w:r>
    </w:p>
    <w:p w14:paraId="1BC8CDDD" w14:textId="71B9B322" w:rsidR="00897528" w:rsidRPr="00897528" w:rsidRDefault="00897528" w:rsidP="00897528">
      <w:pPr>
        <w:spacing w:line="360" w:lineRule="auto"/>
        <w:jc w:val="both"/>
        <w:rPr>
          <w:rFonts w:ascii="Verdana" w:eastAsia="Verdana" w:hAnsi="Verdana" w:cs="Verdana"/>
          <w:sz w:val="22"/>
          <w:szCs w:val="22"/>
        </w:rPr>
      </w:pPr>
      <w:r w:rsidRPr="00897528">
        <w:rPr>
          <w:rFonts w:ascii="Verdana" w:eastAsia="Verdana" w:hAnsi="Verdana" w:cs="Verdana"/>
          <w:sz w:val="22"/>
          <w:szCs w:val="22"/>
        </w:rPr>
        <w:t xml:space="preserve">Il </w:t>
      </w:r>
      <w:r w:rsidRPr="00897528">
        <w:rPr>
          <w:rFonts w:ascii="Verdana" w:eastAsia="Verdana" w:hAnsi="Verdana" w:cs="Verdana"/>
          <w:b/>
          <w:bCs/>
          <w:sz w:val="22"/>
          <w:szCs w:val="22"/>
        </w:rPr>
        <w:t>comparto Shipping del Fondo IDeA CCR II</w:t>
      </w:r>
      <w:r w:rsidRPr="00897528">
        <w:rPr>
          <w:rFonts w:ascii="Verdana" w:eastAsia="Verdana" w:hAnsi="Verdana" w:cs="Verdana"/>
          <w:sz w:val="22"/>
          <w:szCs w:val="22"/>
        </w:rPr>
        <w:t xml:space="preserve">, gestito da </w:t>
      </w:r>
      <w:r w:rsidRPr="00897528">
        <w:rPr>
          <w:rFonts w:ascii="Verdana" w:eastAsia="Verdana" w:hAnsi="Verdana" w:cs="Verdana"/>
          <w:b/>
          <w:bCs/>
          <w:sz w:val="22"/>
          <w:szCs w:val="22"/>
        </w:rPr>
        <w:t>DeA Capital Alternative Funds SGR</w:t>
      </w:r>
      <w:r w:rsidRPr="00897528">
        <w:rPr>
          <w:rFonts w:ascii="Verdana" w:eastAsia="Verdana" w:hAnsi="Verdana" w:cs="Verdana"/>
          <w:sz w:val="22"/>
          <w:szCs w:val="22"/>
        </w:rPr>
        <w:t xml:space="preserve">, ha definito l’operazione di cessione di </w:t>
      </w:r>
      <w:r w:rsidRPr="00897528">
        <w:rPr>
          <w:rFonts w:ascii="Verdana" w:eastAsia="Verdana" w:hAnsi="Verdana" w:cs="Verdana"/>
          <w:b/>
          <w:bCs/>
          <w:sz w:val="22"/>
          <w:szCs w:val="22"/>
        </w:rPr>
        <w:t>6 navi</w:t>
      </w:r>
      <w:r w:rsidR="007E397F">
        <w:rPr>
          <w:rFonts w:ascii="Verdana" w:eastAsia="Verdana" w:hAnsi="Verdana" w:cs="Verdana"/>
          <w:sz w:val="22"/>
          <w:szCs w:val="22"/>
        </w:rPr>
        <w:t>, che opereranno tutte sotto Bandiera italiana</w:t>
      </w:r>
      <w:r w:rsidR="004D352C">
        <w:rPr>
          <w:rFonts w:ascii="Verdana" w:eastAsia="Verdana" w:hAnsi="Verdana" w:cs="Verdana"/>
          <w:sz w:val="22"/>
          <w:szCs w:val="22"/>
        </w:rPr>
        <w:t xml:space="preserve"> e </w:t>
      </w:r>
      <w:r w:rsidR="000D2EC7">
        <w:rPr>
          <w:rFonts w:ascii="Verdana" w:eastAsia="Verdana" w:hAnsi="Verdana" w:cs="Verdana"/>
          <w:sz w:val="22"/>
          <w:szCs w:val="22"/>
        </w:rPr>
        <w:t>attive nei segmenti oil</w:t>
      </w:r>
      <w:r w:rsidRPr="00897528">
        <w:rPr>
          <w:rFonts w:ascii="Verdana" w:eastAsia="Verdana" w:hAnsi="Verdana" w:cs="Verdana"/>
          <w:sz w:val="22"/>
          <w:szCs w:val="22"/>
        </w:rPr>
        <w:t xml:space="preserve">, product, </w:t>
      </w:r>
      <w:proofErr w:type="spellStart"/>
      <w:r w:rsidRPr="00897528">
        <w:rPr>
          <w:rFonts w:ascii="Verdana" w:eastAsia="Verdana" w:hAnsi="Verdana" w:cs="Verdana"/>
          <w:sz w:val="22"/>
          <w:szCs w:val="22"/>
        </w:rPr>
        <w:t>chemical</w:t>
      </w:r>
      <w:proofErr w:type="spellEnd"/>
      <w:r w:rsidRPr="00897528">
        <w:rPr>
          <w:rFonts w:ascii="Verdana" w:eastAsia="Verdana" w:hAnsi="Verdana" w:cs="Verdana"/>
          <w:sz w:val="22"/>
          <w:szCs w:val="22"/>
        </w:rPr>
        <w:t xml:space="preserve"> tankers e </w:t>
      </w:r>
      <w:proofErr w:type="spellStart"/>
      <w:r w:rsidRPr="00897528">
        <w:rPr>
          <w:rFonts w:ascii="Verdana" w:eastAsia="Verdana" w:hAnsi="Verdana" w:cs="Verdana"/>
          <w:sz w:val="22"/>
          <w:szCs w:val="22"/>
        </w:rPr>
        <w:t>bulkers</w:t>
      </w:r>
      <w:proofErr w:type="spellEnd"/>
      <w:r w:rsidRPr="00897528">
        <w:rPr>
          <w:rFonts w:ascii="Verdana" w:eastAsia="Verdana" w:hAnsi="Verdana" w:cs="Verdana"/>
          <w:sz w:val="22"/>
          <w:szCs w:val="22"/>
        </w:rPr>
        <w:t xml:space="preserve">, </w:t>
      </w:r>
      <w:r w:rsidRPr="00897528">
        <w:rPr>
          <w:rFonts w:ascii="Verdana" w:eastAsia="Verdana" w:hAnsi="Verdana" w:cs="Verdana"/>
          <w:b/>
          <w:bCs/>
          <w:sz w:val="22"/>
          <w:szCs w:val="22"/>
        </w:rPr>
        <w:t xml:space="preserve">al Gruppo </w:t>
      </w:r>
      <w:proofErr w:type="spellStart"/>
      <w:r w:rsidRPr="00897528">
        <w:rPr>
          <w:rFonts w:ascii="Verdana" w:eastAsia="Verdana" w:hAnsi="Verdana" w:cs="Verdana"/>
          <w:b/>
          <w:bCs/>
          <w:sz w:val="22"/>
          <w:szCs w:val="22"/>
        </w:rPr>
        <w:t>NavMont</w:t>
      </w:r>
      <w:proofErr w:type="spellEnd"/>
      <w:r w:rsidRPr="00897528">
        <w:rPr>
          <w:rFonts w:ascii="Verdana" w:eastAsia="Verdana" w:hAnsi="Verdana" w:cs="Verdana"/>
          <w:sz w:val="22"/>
          <w:szCs w:val="22"/>
        </w:rPr>
        <w:t xml:space="preserve">, per un </w:t>
      </w:r>
      <w:r w:rsidRPr="00897528">
        <w:rPr>
          <w:rFonts w:ascii="Verdana" w:eastAsia="Verdana" w:hAnsi="Verdana" w:cs="Verdana"/>
          <w:b/>
          <w:bCs/>
          <w:sz w:val="22"/>
          <w:szCs w:val="22"/>
        </w:rPr>
        <w:t>valore complessivo di circa $108 milioni</w:t>
      </w:r>
      <w:r w:rsidRPr="00897528">
        <w:rPr>
          <w:rFonts w:ascii="Verdana" w:eastAsia="Verdana" w:hAnsi="Verdana" w:cs="Verdana"/>
          <w:sz w:val="22"/>
          <w:szCs w:val="22"/>
        </w:rPr>
        <w:t>.</w:t>
      </w:r>
    </w:p>
    <w:p w14:paraId="018E5568" w14:textId="40E72195" w:rsidR="00897528" w:rsidRPr="00897528" w:rsidRDefault="00897528" w:rsidP="00897528">
      <w:pPr>
        <w:spacing w:line="360" w:lineRule="auto"/>
        <w:jc w:val="both"/>
        <w:rPr>
          <w:rFonts w:ascii="Verdana" w:eastAsia="Verdana" w:hAnsi="Verdana" w:cs="Verdana"/>
          <w:sz w:val="22"/>
          <w:szCs w:val="22"/>
        </w:rPr>
      </w:pPr>
      <w:r w:rsidRPr="00897528">
        <w:rPr>
          <w:rFonts w:ascii="Verdana" w:eastAsia="Verdana" w:hAnsi="Verdana" w:cs="Verdana"/>
          <w:sz w:val="22"/>
          <w:szCs w:val="22"/>
        </w:rPr>
        <w:t>In particolare</w:t>
      </w:r>
      <w:r w:rsidR="00FF7D44">
        <w:rPr>
          <w:rFonts w:ascii="Verdana" w:eastAsia="Verdana" w:hAnsi="Verdana" w:cs="Verdana"/>
          <w:sz w:val="22"/>
          <w:szCs w:val="22"/>
        </w:rPr>
        <w:t>,</w:t>
      </w:r>
      <w:r w:rsidRPr="00897528">
        <w:rPr>
          <w:rFonts w:ascii="Verdana" w:eastAsia="Verdana" w:hAnsi="Verdana" w:cs="Verdana"/>
          <w:sz w:val="22"/>
          <w:szCs w:val="22"/>
        </w:rPr>
        <w:t xml:space="preserve"> cinque navi tanker sono acquistate dalla società </w:t>
      </w:r>
      <w:proofErr w:type="spellStart"/>
      <w:r w:rsidRPr="00897528">
        <w:rPr>
          <w:rFonts w:ascii="Verdana" w:eastAsia="Verdana" w:hAnsi="Verdana" w:cs="Verdana"/>
          <w:sz w:val="22"/>
          <w:szCs w:val="22"/>
        </w:rPr>
        <w:t>Euromont</w:t>
      </w:r>
      <w:proofErr w:type="spellEnd"/>
      <w:r w:rsidRPr="00897528">
        <w:rPr>
          <w:rFonts w:ascii="Verdana" w:eastAsia="Verdana" w:hAnsi="Verdana" w:cs="Verdana"/>
          <w:sz w:val="22"/>
          <w:szCs w:val="22"/>
        </w:rPr>
        <w:t xml:space="preserve"> S</w:t>
      </w:r>
      <w:r w:rsidR="00E2392C">
        <w:rPr>
          <w:rFonts w:ascii="Verdana" w:eastAsia="Verdana" w:hAnsi="Verdana" w:cs="Verdana"/>
          <w:sz w:val="22"/>
          <w:szCs w:val="22"/>
        </w:rPr>
        <w:t>.</w:t>
      </w:r>
      <w:r w:rsidRPr="00897528">
        <w:rPr>
          <w:rFonts w:ascii="Verdana" w:eastAsia="Verdana" w:hAnsi="Verdana" w:cs="Verdana"/>
          <w:sz w:val="22"/>
          <w:szCs w:val="22"/>
        </w:rPr>
        <w:t>p</w:t>
      </w:r>
      <w:r w:rsidR="00E2392C">
        <w:rPr>
          <w:rFonts w:ascii="Verdana" w:eastAsia="Verdana" w:hAnsi="Verdana" w:cs="Verdana"/>
          <w:sz w:val="22"/>
          <w:szCs w:val="22"/>
        </w:rPr>
        <w:t>.</w:t>
      </w:r>
      <w:r w:rsidRPr="00897528">
        <w:rPr>
          <w:rFonts w:ascii="Verdana" w:eastAsia="Verdana" w:hAnsi="Verdana" w:cs="Verdana"/>
          <w:sz w:val="22"/>
          <w:szCs w:val="22"/>
        </w:rPr>
        <w:t>A</w:t>
      </w:r>
      <w:r w:rsidR="00E2392C">
        <w:rPr>
          <w:rFonts w:ascii="Verdana" w:eastAsia="Verdana" w:hAnsi="Verdana" w:cs="Verdana"/>
          <w:sz w:val="22"/>
          <w:szCs w:val="22"/>
        </w:rPr>
        <w:t>.</w:t>
      </w:r>
      <w:r w:rsidRPr="00897528">
        <w:rPr>
          <w:rFonts w:ascii="Verdana" w:eastAsia="Verdana" w:hAnsi="Verdana" w:cs="Verdana"/>
          <w:sz w:val="22"/>
          <w:szCs w:val="22"/>
        </w:rPr>
        <w:t xml:space="preserve"> controllata dal Gruppo </w:t>
      </w:r>
      <w:proofErr w:type="spellStart"/>
      <w:r w:rsidRPr="00897528">
        <w:rPr>
          <w:rFonts w:ascii="Verdana" w:eastAsia="Verdana" w:hAnsi="Verdana" w:cs="Verdana"/>
          <w:sz w:val="22"/>
          <w:szCs w:val="22"/>
        </w:rPr>
        <w:t>NavMont</w:t>
      </w:r>
      <w:proofErr w:type="spellEnd"/>
      <w:r w:rsidRPr="00897528">
        <w:rPr>
          <w:rFonts w:ascii="Verdana" w:eastAsia="Verdana" w:hAnsi="Verdana" w:cs="Verdana"/>
          <w:sz w:val="22"/>
          <w:szCs w:val="22"/>
        </w:rPr>
        <w:t>, che finanzia il prezzo di $85</w:t>
      </w:r>
      <w:r w:rsidR="00CC7393">
        <w:rPr>
          <w:rFonts w:ascii="Verdana" w:eastAsia="Verdana" w:hAnsi="Verdana" w:cs="Verdana"/>
          <w:sz w:val="22"/>
          <w:szCs w:val="22"/>
        </w:rPr>
        <w:t xml:space="preserve"> </w:t>
      </w:r>
      <w:r w:rsidRPr="00897528">
        <w:rPr>
          <w:rFonts w:ascii="Verdana" w:eastAsia="Verdana" w:hAnsi="Verdana" w:cs="Verdana"/>
          <w:sz w:val="22"/>
          <w:szCs w:val="22"/>
        </w:rPr>
        <w:t>m</w:t>
      </w:r>
      <w:r w:rsidR="00CC7393">
        <w:rPr>
          <w:rFonts w:ascii="Verdana" w:eastAsia="Verdana" w:hAnsi="Verdana" w:cs="Verdana"/>
          <w:sz w:val="22"/>
          <w:szCs w:val="22"/>
        </w:rPr>
        <w:t>ilioni</w:t>
      </w:r>
      <w:r w:rsidRPr="00897528">
        <w:rPr>
          <w:rFonts w:ascii="Verdana" w:eastAsia="Verdana" w:hAnsi="Verdana" w:cs="Verdana"/>
          <w:sz w:val="22"/>
          <w:szCs w:val="22"/>
        </w:rPr>
        <w:t xml:space="preserve"> con un </w:t>
      </w:r>
      <w:proofErr w:type="spellStart"/>
      <w:r w:rsidRPr="00897528">
        <w:rPr>
          <w:rFonts w:ascii="Verdana" w:eastAsia="Verdana" w:hAnsi="Verdana" w:cs="Verdana"/>
          <w:sz w:val="22"/>
          <w:szCs w:val="22"/>
        </w:rPr>
        <w:t>loan</w:t>
      </w:r>
      <w:proofErr w:type="spellEnd"/>
      <w:r w:rsidRPr="00897528">
        <w:rPr>
          <w:rFonts w:ascii="Verdana" w:eastAsia="Verdana" w:hAnsi="Verdana" w:cs="Verdana"/>
          <w:sz w:val="22"/>
          <w:szCs w:val="22"/>
        </w:rPr>
        <w:t xml:space="preserve"> assistito da garanzia SACE, erogato da Illimity Bank e Solution Bank (complessivi $50</w:t>
      </w:r>
      <w:r w:rsidR="00CC7393">
        <w:rPr>
          <w:rFonts w:ascii="Verdana" w:eastAsia="Verdana" w:hAnsi="Verdana" w:cs="Verdana"/>
          <w:sz w:val="22"/>
          <w:szCs w:val="22"/>
        </w:rPr>
        <w:t xml:space="preserve"> </w:t>
      </w:r>
      <w:r w:rsidRPr="00897528">
        <w:rPr>
          <w:rFonts w:ascii="Verdana" w:eastAsia="Verdana" w:hAnsi="Verdana" w:cs="Verdana"/>
          <w:sz w:val="22"/>
          <w:szCs w:val="22"/>
        </w:rPr>
        <w:t>m</w:t>
      </w:r>
      <w:r w:rsidR="00CC7393">
        <w:rPr>
          <w:rFonts w:ascii="Verdana" w:eastAsia="Verdana" w:hAnsi="Verdana" w:cs="Verdana"/>
          <w:sz w:val="22"/>
          <w:szCs w:val="22"/>
        </w:rPr>
        <w:t>ilioni</w:t>
      </w:r>
      <w:r w:rsidRPr="00897528">
        <w:rPr>
          <w:rFonts w:ascii="Verdana" w:eastAsia="Verdana" w:hAnsi="Verdana" w:cs="Verdana"/>
          <w:sz w:val="22"/>
          <w:szCs w:val="22"/>
        </w:rPr>
        <w:t xml:space="preserve"> circa). La quota di equity è coperta per il 51% circa dal Gruppo </w:t>
      </w:r>
      <w:proofErr w:type="spellStart"/>
      <w:r w:rsidRPr="00897528">
        <w:rPr>
          <w:rFonts w:ascii="Verdana" w:eastAsia="Verdana" w:hAnsi="Verdana" w:cs="Verdana"/>
          <w:sz w:val="22"/>
          <w:szCs w:val="22"/>
        </w:rPr>
        <w:t>NavMont</w:t>
      </w:r>
      <w:proofErr w:type="spellEnd"/>
      <w:r w:rsidRPr="00897528">
        <w:rPr>
          <w:rFonts w:ascii="Verdana" w:eastAsia="Verdana" w:hAnsi="Verdana" w:cs="Verdana"/>
          <w:sz w:val="22"/>
          <w:szCs w:val="22"/>
        </w:rPr>
        <w:t xml:space="preserve"> e per la parte rimanente dal Fondo IDeA CCR II: il Fondo contribuirà allo sviluppo dell’operazione per i primi 3 anni del business plan.</w:t>
      </w:r>
    </w:p>
    <w:p w14:paraId="4C6F1A26" w14:textId="11546E61" w:rsidR="00897528" w:rsidRPr="00897528" w:rsidRDefault="00897528" w:rsidP="00897528">
      <w:pPr>
        <w:spacing w:line="360" w:lineRule="auto"/>
        <w:jc w:val="both"/>
        <w:rPr>
          <w:rFonts w:ascii="Verdana" w:eastAsia="Verdana" w:hAnsi="Verdana" w:cs="Verdana"/>
          <w:sz w:val="22"/>
          <w:szCs w:val="22"/>
        </w:rPr>
      </w:pPr>
      <w:r w:rsidRPr="00897528">
        <w:rPr>
          <w:rFonts w:ascii="Verdana" w:eastAsia="Verdana" w:hAnsi="Verdana" w:cs="Verdana"/>
          <w:sz w:val="22"/>
          <w:szCs w:val="22"/>
        </w:rPr>
        <w:t xml:space="preserve">La nave </w:t>
      </w:r>
      <w:proofErr w:type="spellStart"/>
      <w:r w:rsidRPr="00897528">
        <w:rPr>
          <w:rFonts w:ascii="Verdana" w:eastAsia="Verdana" w:hAnsi="Verdana" w:cs="Verdana"/>
          <w:sz w:val="22"/>
          <w:szCs w:val="22"/>
        </w:rPr>
        <w:t>bulker</w:t>
      </w:r>
      <w:proofErr w:type="spellEnd"/>
      <w:r w:rsidRPr="00897528">
        <w:rPr>
          <w:rFonts w:ascii="Verdana" w:eastAsia="Verdana" w:hAnsi="Verdana" w:cs="Verdana"/>
          <w:sz w:val="22"/>
          <w:szCs w:val="22"/>
        </w:rPr>
        <w:t xml:space="preserve"> v</w:t>
      </w:r>
      <w:r w:rsidR="00CD25F9">
        <w:rPr>
          <w:rFonts w:ascii="Verdana" w:eastAsia="Verdana" w:hAnsi="Verdana" w:cs="Verdana"/>
          <w:sz w:val="22"/>
          <w:szCs w:val="22"/>
        </w:rPr>
        <w:t xml:space="preserve">errà </w:t>
      </w:r>
      <w:r w:rsidRPr="00897528">
        <w:rPr>
          <w:rFonts w:ascii="Verdana" w:eastAsia="Verdana" w:hAnsi="Verdana" w:cs="Verdana"/>
          <w:sz w:val="22"/>
          <w:szCs w:val="22"/>
        </w:rPr>
        <w:t>invece acquistata direttamente da</w:t>
      </w:r>
      <w:r w:rsidR="00CD25F9">
        <w:rPr>
          <w:rFonts w:ascii="Verdana" w:eastAsia="Verdana" w:hAnsi="Verdana" w:cs="Verdana"/>
          <w:sz w:val="22"/>
          <w:szCs w:val="22"/>
        </w:rPr>
        <w:t xml:space="preserve">l Gruppo </w:t>
      </w:r>
      <w:proofErr w:type="spellStart"/>
      <w:r w:rsidR="00CD25F9">
        <w:rPr>
          <w:rFonts w:ascii="Verdana" w:eastAsia="Verdana" w:hAnsi="Verdana" w:cs="Verdana"/>
          <w:sz w:val="22"/>
          <w:szCs w:val="22"/>
        </w:rPr>
        <w:t>NavMont</w:t>
      </w:r>
      <w:proofErr w:type="spellEnd"/>
      <w:r w:rsidRPr="00897528">
        <w:rPr>
          <w:rFonts w:ascii="Verdana" w:eastAsia="Verdana" w:hAnsi="Verdana" w:cs="Verdana"/>
          <w:sz w:val="22"/>
          <w:szCs w:val="22"/>
        </w:rPr>
        <w:t xml:space="preserve">, </w:t>
      </w:r>
      <w:r w:rsidR="00CD25F9" w:rsidRPr="00897528">
        <w:rPr>
          <w:rFonts w:ascii="Verdana" w:eastAsia="Verdana" w:hAnsi="Verdana" w:cs="Verdana"/>
          <w:sz w:val="22"/>
          <w:szCs w:val="22"/>
        </w:rPr>
        <w:t>supportat</w:t>
      </w:r>
      <w:r w:rsidR="00CD25F9">
        <w:rPr>
          <w:rFonts w:ascii="Verdana" w:eastAsia="Verdana" w:hAnsi="Verdana" w:cs="Verdana"/>
          <w:sz w:val="22"/>
          <w:szCs w:val="22"/>
        </w:rPr>
        <w:t>o</w:t>
      </w:r>
      <w:r w:rsidR="00CD25F9" w:rsidRPr="00897528">
        <w:rPr>
          <w:rFonts w:ascii="Verdana" w:eastAsia="Verdana" w:hAnsi="Verdana" w:cs="Verdana"/>
          <w:sz w:val="22"/>
          <w:szCs w:val="22"/>
        </w:rPr>
        <w:t xml:space="preserve"> </w:t>
      </w:r>
      <w:r w:rsidRPr="00897528">
        <w:rPr>
          <w:rFonts w:ascii="Verdana" w:eastAsia="Verdana" w:hAnsi="Verdana" w:cs="Verdana"/>
          <w:sz w:val="22"/>
          <w:szCs w:val="22"/>
        </w:rPr>
        <w:t>da finanziatori internazionali</w:t>
      </w:r>
      <w:r w:rsidR="008857D0">
        <w:rPr>
          <w:rFonts w:ascii="Verdana" w:eastAsia="Verdana" w:hAnsi="Verdana" w:cs="Verdana"/>
          <w:sz w:val="22"/>
          <w:szCs w:val="22"/>
        </w:rPr>
        <w:t>.</w:t>
      </w:r>
    </w:p>
    <w:p w14:paraId="6DADA104" w14:textId="0D5CA259" w:rsidR="00E2392C" w:rsidRDefault="00897528" w:rsidP="00897528">
      <w:pPr>
        <w:spacing w:line="360" w:lineRule="auto"/>
        <w:jc w:val="both"/>
        <w:rPr>
          <w:rFonts w:ascii="Verdana" w:eastAsia="Verdana" w:hAnsi="Verdana" w:cs="Verdana"/>
          <w:sz w:val="22"/>
          <w:szCs w:val="22"/>
        </w:rPr>
      </w:pPr>
      <w:r w:rsidRPr="00897528">
        <w:rPr>
          <w:rFonts w:ascii="Verdana" w:eastAsia="Verdana" w:hAnsi="Verdana" w:cs="Verdana"/>
          <w:sz w:val="22"/>
          <w:szCs w:val="22"/>
        </w:rPr>
        <w:t xml:space="preserve">Il </w:t>
      </w:r>
      <w:r w:rsidRPr="00E2392C">
        <w:rPr>
          <w:rFonts w:ascii="Verdana" w:eastAsia="Verdana" w:hAnsi="Verdana" w:cs="Verdana"/>
          <w:b/>
          <w:bCs/>
          <w:sz w:val="22"/>
          <w:szCs w:val="22"/>
        </w:rPr>
        <w:t xml:space="preserve">Gruppo </w:t>
      </w:r>
      <w:proofErr w:type="spellStart"/>
      <w:r w:rsidRPr="00E2392C">
        <w:rPr>
          <w:rFonts w:ascii="Verdana" w:eastAsia="Verdana" w:hAnsi="Verdana" w:cs="Verdana"/>
          <w:b/>
          <w:bCs/>
          <w:sz w:val="22"/>
          <w:szCs w:val="22"/>
        </w:rPr>
        <w:t>NavMont</w:t>
      </w:r>
      <w:proofErr w:type="spellEnd"/>
      <w:r w:rsidRPr="00897528">
        <w:rPr>
          <w:rFonts w:ascii="Verdana" w:eastAsia="Verdana" w:hAnsi="Verdana" w:cs="Verdana"/>
          <w:sz w:val="22"/>
          <w:szCs w:val="22"/>
        </w:rPr>
        <w:t xml:space="preserve"> </w:t>
      </w:r>
      <w:r w:rsidR="008857D0">
        <w:rPr>
          <w:rFonts w:ascii="Verdana" w:eastAsia="Verdana" w:hAnsi="Verdana" w:cs="Verdana"/>
          <w:sz w:val="22"/>
          <w:szCs w:val="22"/>
        </w:rPr>
        <w:t xml:space="preserve">fondato nel 1889 a Fano, </w:t>
      </w:r>
      <w:r w:rsidR="008857D0" w:rsidRPr="00897528">
        <w:rPr>
          <w:rFonts w:ascii="Verdana" w:eastAsia="Verdana" w:hAnsi="Verdana" w:cs="Verdana"/>
          <w:sz w:val="22"/>
          <w:szCs w:val="22"/>
        </w:rPr>
        <w:t>dove ancora oggi ha il suo headquarter</w:t>
      </w:r>
      <w:r w:rsidR="008857D0">
        <w:rPr>
          <w:rFonts w:ascii="Verdana" w:eastAsia="Verdana" w:hAnsi="Verdana" w:cs="Verdana"/>
          <w:sz w:val="22"/>
          <w:szCs w:val="22"/>
        </w:rPr>
        <w:t>,</w:t>
      </w:r>
      <w:r w:rsidR="008857D0" w:rsidRPr="00897528">
        <w:rPr>
          <w:rFonts w:ascii="Verdana" w:eastAsia="Verdana" w:hAnsi="Verdana" w:cs="Verdana"/>
          <w:sz w:val="22"/>
          <w:szCs w:val="22"/>
        </w:rPr>
        <w:t xml:space="preserve"> </w:t>
      </w:r>
      <w:r w:rsidRPr="00897528">
        <w:rPr>
          <w:rFonts w:ascii="Verdana" w:eastAsia="Verdana" w:hAnsi="Verdana" w:cs="Verdana"/>
          <w:sz w:val="22"/>
          <w:szCs w:val="22"/>
        </w:rPr>
        <w:t xml:space="preserve">è </w:t>
      </w:r>
      <w:r w:rsidR="008857D0">
        <w:rPr>
          <w:rFonts w:ascii="Verdana" w:eastAsia="Verdana" w:hAnsi="Verdana" w:cs="Verdana"/>
          <w:sz w:val="22"/>
          <w:szCs w:val="22"/>
        </w:rPr>
        <w:t xml:space="preserve">interamente </w:t>
      </w:r>
      <w:r w:rsidRPr="00897528">
        <w:rPr>
          <w:rFonts w:ascii="Verdana" w:eastAsia="Verdana" w:hAnsi="Verdana" w:cs="Verdana"/>
          <w:sz w:val="22"/>
          <w:szCs w:val="22"/>
        </w:rPr>
        <w:t xml:space="preserve">controllato dalla famiglia Montanari. Corrado </w:t>
      </w:r>
      <w:r w:rsidR="008857D0">
        <w:rPr>
          <w:rFonts w:ascii="Verdana" w:eastAsia="Verdana" w:hAnsi="Verdana" w:cs="Verdana"/>
          <w:sz w:val="22"/>
          <w:szCs w:val="22"/>
        </w:rPr>
        <w:t xml:space="preserve">A. </w:t>
      </w:r>
      <w:r w:rsidRPr="00897528">
        <w:rPr>
          <w:rFonts w:ascii="Verdana" w:eastAsia="Verdana" w:hAnsi="Verdana" w:cs="Verdana"/>
          <w:sz w:val="22"/>
          <w:szCs w:val="22"/>
        </w:rPr>
        <w:t xml:space="preserve">Montanari ricopre il ruolo di Presidente e Fabio Montanari quello di CEO. </w:t>
      </w:r>
      <w:r w:rsidR="008857D0">
        <w:rPr>
          <w:rFonts w:ascii="Verdana" w:eastAsia="Verdana" w:hAnsi="Verdana" w:cs="Verdana"/>
          <w:sz w:val="22"/>
          <w:szCs w:val="22"/>
        </w:rPr>
        <w:t>Il Gruppo</w:t>
      </w:r>
      <w:r w:rsidR="008857D0" w:rsidRPr="00897528">
        <w:rPr>
          <w:rFonts w:ascii="Verdana" w:eastAsia="Verdana" w:hAnsi="Verdana" w:cs="Verdana"/>
          <w:sz w:val="22"/>
          <w:szCs w:val="22"/>
        </w:rPr>
        <w:t xml:space="preserve"> </w:t>
      </w:r>
      <w:r w:rsidRPr="00897528">
        <w:rPr>
          <w:rFonts w:ascii="Verdana" w:eastAsia="Verdana" w:hAnsi="Verdana" w:cs="Verdana"/>
          <w:sz w:val="22"/>
          <w:szCs w:val="22"/>
        </w:rPr>
        <w:t>gestisce una flotta di 18 oil/product tankers</w:t>
      </w:r>
      <w:r w:rsidR="008857D0">
        <w:rPr>
          <w:rFonts w:ascii="Verdana" w:eastAsia="Verdana" w:hAnsi="Verdana" w:cs="Verdana"/>
          <w:sz w:val="22"/>
          <w:szCs w:val="22"/>
        </w:rPr>
        <w:t xml:space="preserve"> per </w:t>
      </w:r>
      <w:r w:rsidRPr="00897528">
        <w:rPr>
          <w:rFonts w:ascii="Verdana" w:eastAsia="Verdana" w:hAnsi="Verdana" w:cs="Verdana"/>
          <w:sz w:val="22"/>
          <w:szCs w:val="22"/>
        </w:rPr>
        <w:t>un tonnellaggio lordo di circa 1m DWT</w:t>
      </w:r>
    </w:p>
    <w:p w14:paraId="7610A777" w14:textId="77777777" w:rsidR="008857D0" w:rsidRDefault="008857D0" w:rsidP="00897528">
      <w:pPr>
        <w:spacing w:line="360" w:lineRule="auto"/>
        <w:jc w:val="both"/>
        <w:rPr>
          <w:rFonts w:ascii="Verdana" w:eastAsia="Verdana" w:hAnsi="Verdana" w:cs="Verdana"/>
          <w:sz w:val="22"/>
          <w:szCs w:val="22"/>
        </w:rPr>
      </w:pPr>
    </w:p>
    <w:p w14:paraId="1F6A91AB" w14:textId="3B590180" w:rsidR="00897528" w:rsidRPr="00897528" w:rsidRDefault="00897528" w:rsidP="00897528">
      <w:pPr>
        <w:spacing w:line="360" w:lineRule="auto"/>
        <w:jc w:val="both"/>
        <w:rPr>
          <w:rFonts w:ascii="Verdana" w:eastAsia="Verdana" w:hAnsi="Verdana" w:cs="Verdana"/>
          <w:sz w:val="22"/>
          <w:szCs w:val="22"/>
        </w:rPr>
      </w:pPr>
      <w:r w:rsidRPr="004D352C">
        <w:rPr>
          <w:rFonts w:ascii="Verdana" w:eastAsia="Verdana" w:hAnsi="Verdana" w:cs="Verdana"/>
          <w:sz w:val="22"/>
          <w:szCs w:val="22"/>
        </w:rPr>
        <w:t>Con quest’operazione</w:t>
      </w:r>
      <w:r w:rsidR="004D352C" w:rsidRPr="004D352C">
        <w:rPr>
          <w:rFonts w:ascii="Verdana" w:eastAsia="Verdana" w:hAnsi="Verdana" w:cs="Verdana"/>
          <w:sz w:val="22"/>
          <w:szCs w:val="22"/>
        </w:rPr>
        <w:t xml:space="preserve">, che ha avuto il supporto legale degli studi </w:t>
      </w:r>
      <w:r w:rsidR="004D352C" w:rsidRPr="004D352C">
        <w:rPr>
          <w:rFonts w:ascii="Verdana" w:hAnsi="Verdana" w:cs="Arial"/>
          <w:color w:val="202124"/>
          <w:sz w:val="22"/>
          <w:szCs w:val="22"/>
          <w:shd w:val="clear" w:color="auto" w:fill="FFFFFF"/>
        </w:rPr>
        <w:t>Watson, Farley &amp; Williams e DLA Piper,</w:t>
      </w:r>
      <w:r w:rsidR="004D352C" w:rsidRPr="004D352C">
        <w:rPr>
          <w:rFonts w:ascii="Verdana" w:eastAsia="Verdana" w:hAnsi="Verdana" w:cs="Verdana"/>
          <w:sz w:val="22"/>
          <w:szCs w:val="22"/>
        </w:rPr>
        <w:t xml:space="preserve"> </w:t>
      </w:r>
      <w:r w:rsidRPr="004D352C">
        <w:rPr>
          <w:rFonts w:ascii="Verdana" w:eastAsia="Verdana" w:hAnsi="Verdana" w:cs="Verdana"/>
          <w:sz w:val="22"/>
          <w:szCs w:val="22"/>
        </w:rPr>
        <w:t xml:space="preserve">il </w:t>
      </w:r>
      <w:r w:rsidRPr="004D352C">
        <w:rPr>
          <w:rFonts w:ascii="Verdana" w:eastAsia="Verdana" w:hAnsi="Verdana" w:cs="Verdana"/>
          <w:b/>
          <w:bCs/>
          <w:sz w:val="22"/>
          <w:szCs w:val="22"/>
        </w:rPr>
        <w:t>Fondo IDeA CCR II</w:t>
      </w:r>
      <w:r w:rsidRPr="004D352C">
        <w:rPr>
          <w:rFonts w:ascii="Verdana" w:eastAsia="Verdana" w:hAnsi="Verdana" w:cs="Verdana"/>
          <w:sz w:val="22"/>
          <w:szCs w:val="22"/>
        </w:rPr>
        <w:t xml:space="preserve"> avvia una</w:t>
      </w:r>
      <w:r w:rsidRPr="00897528">
        <w:rPr>
          <w:rFonts w:ascii="Verdana" w:eastAsia="Verdana" w:hAnsi="Verdana" w:cs="Verdana"/>
          <w:sz w:val="22"/>
          <w:szCs w:val="22"/>
        </w:rPr>
        <w:t xml:space="preserve"> partnership industriale italiana con </w:t>
      </w:r>
      <w:proofErr w:type="spellStart"/>
      <w:r w:rsidRPr="00897528">
        <w:rPr>
          <w:rFonts w:ascii="Verdana" w:eastAsia="Verdana" w:hAnsi="Verdana" w:cs="Verdana"/>
          <w:sz w:val="22"/>
          <w:szCs w:val="22"/>
        </w:rPr>
        <w:t>NavMont</w:t>
      </w:r>
      <w:proofErr w:type="spellEnd"/>
      <w:r w:rsidRPr="00897528">
        <w:rPr>
          <w:rFonts w:ascii="Verdana" w:eastAsia="Verdana" w:hAnsi="Verdana" w:cs="Verdana"/>
          <w:sz w:val="22"/>
          <w:szCs w:val="22"/>
        </w:rPr>
        <w:t xml:space="preserve">, </w:t>
      </w:r>
      <w:r w:rsidR="008857D0">
        <w:rPr>
          <w:rFonts w:ascii="Verdana" w:eastAsia="Verdana" w:hAnsi="Verdana" w:cs="Verdana"/>
          <w:sz w:val="22"/>
          <w:szCs w:val="22"/>
        </w:rPr>
        <w:t xml:space="preserve">storico </w:t>
      </w:r>
      <w:r w:rsidRPr="00897528">
        <w:rPr>
          <w:rFonts w:ascii="Verdana" w:eastAsia="Verdana" w:hAnsi="Verdana" w:cs="Verdana"/>
          <w:sz w:val="22"/>
          <w:szCs w:val="22"/>
        </w:rPr>
        <w:t xml:space="preserve">armatore. L’accordo da un lato consente al Fondo di dare un futuro italiano di lungo termine alle proprie navi e dall’altro garantisce all’armatore un </w:t>
      </w:r>
      <w:r w:rsidR="007E397F">
        <w:rPr>
          <w:rFonts w:ascii="Verdana" w:eastAsia="Verdana" w:hAnsi="Verdana" w:cs="Verdana"/>
          <w:sz w:val="22"/>
          <w:szCs w:val="22"/>
        </w:rPr>
        <w:t xml:space="preserve">forte consolidamento </w:t>
      </w:r>
      <w:r w:rsidRPr="00897528">
        <w:rPr>
          <w:rFonts w:ascii="Verdana" w:eastAsia="Verdana" w:hAnsi="Verdana" w:cs="Verdana"/>
          <w:sz w:val="22"/>
          <w:szCs w:val="22"/>
        </w:rPr>
        <w:t>della propria flotta ponendo</w:t>
      </w:r>
      <w:r w:rsidR="007E397F">
        <w:rPr>
          <w:rFonts w:ascii="Verdana" w:eastAsia="Verdana" w:hAnsi="Verdana" w:cs="Verdana"/>
          <w:sz w:val="22"/>
          <w:szCs w:val="22"/>
        </w:rPr>
        <w:t xml:space="preserve"> le basi </w:t>
      </w:r>
      <w:r w:rsidRPr="00897528">
        <w:rPr>
          <w:rFonts w:ascii="Verdana" w:eastAsia="Verdana" w:hAnsi="Verdana" w:cs="Verdana"/>
          <w:sz w:val="22"/>
          <w:szCs w:val="22"/>
        </w:rPr>
        <w:t>per ulteriore crescita.</w:t>
      </w:r>
    </w:p>
    <w:p w14:paraId="56630F82" w14:textId="1EBB5F72" w:rsidR="00897528" w:rsidRPr="00897528" w:rsidRDefault="00897528" w:rsidP="00897528">
      <w:pPr>
        <w:spacing w:line="360" w:lineRule="auto"/>
        <w:jc w:val="both"/>
        <w:rPr>
          <w:rFonts w:ascii="Verdana" w:eastAsia="Verdana" w:hAnsi="Verdana" w:cs="Verdana"/>
          <w:sz w:val="22"/>
          <w:szCs w:val="22"/>
        </w:rPr>
      </w:pPr>
      <w:r w:rsidRPr="00897528">
        <w:rPr>
          <w:rFonts w:ascii="Verdana" w:eastAsia="Verdana" w:hAnsi="Verdana" w:cs="Verdana"/>
          <w:sz w:val="22"/>
          <w:szCs w:val="22"/>
        </w:rPr>
        <w:lastRenderedPageBreak/>
        <w:t>Si ricorda, che l’operatività del comparto Shipping del Fondo IDeA CCR II, era iniziata nei primi mesi del 2019, a valle dell’acquisizione di un portafoglio di crediti navali del valore di circa $200</w:t>
      </w:r>
      <w:r w:rsidR="00E2392C">
        <w:rPr>
          <w:rFonts w:ascii="Verdana" w:eastAsia="Verdana" w:hAnsi="Verdana" w:cs="Verdana"/>
          <w:sz w:val="22"/>
          <w:szCs w:val="22"/>
        </w:rPr>
        <w:t xml:space="preserve"> </w:t>
      </w:r>
      <w:r w:rsidRPr="00897528">
        <w:rPr>
          <w:rFonts w:ascii="Verdana" w:eastAsia="Verdana" w:hAnsi="Verdana" w:cs="Verdana"/>
          <w:sz w:val="22"/>
          <w:szCs w:val="22"/>
        </w:rPr>
        <w:t>m</w:t>
      </w:r>
      <w:r w:rsidR="00E2392C">
        <w:rPr>
          <w:rFonts w:ascii="Verdana" w:eastAsia="Verdana" w:hAnsi="Verdana" w:cs="Verdana"/>
          <w:sz w:val="22"/>
          <w:szCs w:val="22"/>
        </w:rPr>
        <w:t>ilioni</w:t>
      </w:r>
      <w:r w:rsidRPr="00897528">
        <w:rPr>
          <w:rFonts w:ascii="Verdana" w:eastAsia="Verdana" w:hAnsi="Verdana" w:cs="Verdana"/>
          <w:sz w:val="22"/>
          <w:szCs w:val="22"/>
        </w:rPr>
        <w:t>, verso otto armatori italiani.</w:t>
      </w:r>
    </w:p>
    <w:p w14:paraId="3156C585" w14:textId="6BED1EE7" w:rsidR="00897528" w:rsidRPr="00897528" w:rsidRDefault="00897528" w:rsidP="00897528">
      <w:pPr>
        <w:spacing w:line="360" w:lineRule="auto"/>
        <w:jc w:val="both"/>
        <w:rPr>
          <w:rFonts w:ascii="Verdana" w:eastAsia="Verdana" w:hAnsi="Verdana" w:cs="Verdana"/>
          <w:sz w:val="22"/>
          <w:szCs w:val="22"/>
        </w:rPr>
      </w:pPr>
      <w:r w:rsidRPr="00897528">
        <w:rPr>
          <w:rFonts w:ascii="Verdana" w:eastAsia="Verdana" w:hAnsi="Verdana" w:cs="Verdana"/>
          <w:sz w:val="22"/>
          <w:szCs w:val="22"/>
        </w:rPr>
        <w:t>Il Fondo è nato infatti con l’obiettivo, da un lato, di supportare il sistema bancario italiano nella gestione del credito problematico in un settore economico caratterizzato da alta concentrazione e, dall’altro, per preservare il valore di assets cruciali per l’arma</w:t>
      </w:r>
      <w:r w:rsidR="00CD25F9">
        <w:rPr>
          <w:rFonts w:ascii="Verdana" w:eastAsia="Verdana" w:hAnsi="Verdana" w:cs="Verdana"/>
          <w:sz w:val="22"/>
          <w:szCs w:val="22"/>
        </w:rPr>
        <w:t xml:space="preserve">mento </w:t>
      </w:r>
      <w:r w:rsidRPr="00897528">
        <w:rPr>
          <w:rFonts w:ascii="Verdana" w:eastAsia="Verdana" w:hAnsi="Verdana" w:cs="Verdana"/>
          <w:sz w:val="22"/>
          <w:szCs w:val="22"/>
        </w:rPr>
        <w:t>italian</w:t>
      </w:r>
      <w:r w:rsidR="00CD25F9">
        <w:rPr>
          <w:rFonts w:ascii="Verdana" w:eastAsia="Verdana" w:hAnsi="Verdana" w:cs="Verdana"/>
          <w:sz w:val="22"/>
          <w:szCs w:val="22"/>
        </w:rPr>
        <w:t>o</w:t>
      </w:r>
      <w:r w:rsidRPr="00897528">
        <w:rPr>
          <w:rFonts w:ascii="Verdana" w:eastAsia="Verdana" w:hAnsi="Verdana" w:cs="Verdana"/>
          <w:sz w:val="22"/>
          <w:szCs w:val="22"/>
        </w:rPr>
        <w:t>, evitando liquidazioni forzose che avrebbero potuto determinarsi anche a seguito di incursioni speculative.</w:t>
      </w:r>
    </w:p>
    <w:p w14:paraId="68E44A3E" w14:textId="15495482" w:rsidR="00897528" w:rsidRDefault="00897528" w:rsidP="00897528">
      <w:pPr>
        <w:spacing w:line="360" w:lineRule="auto"/>
        <w:jc w:val="both"/>
        <w:rPr>
          <w:rFonts w:ascii="Verdana" w:eastAsia="Verdana" w:hAnsi="Verdana" w:cs="Verdana"/>
          <w:sz w:val="22"/>
          <w:szCs w:val="22"/>
        </w:rPr>
      </w:pPr>
      <w:r w:rsidRPr="00897528">
        <w:rPr>
          <w:rFonts w:ascii="Verdana" w:eastAsia="Verdana" w:hAnsi="Verdana" w:cs="Verdana"/>
          <w:sz w:val="22"/>
          <w:szCs w:val="22"/>
        </w:rPr>
        <w:t>A valle dei suoi 3 anni di attività, il Fondo ha chiuso 7 operazioni di ristrutturazione, risanando la quasi totalità dei crediti conferiti. Gestisce una flotta di 7 navi con età media di 11 anni, ha realizzato 3 operazioni di exit ed ha già distribuito un importante ammontare di capitale ai propri investitori.</w:t>
      </w:r>
    </w:p>
    <w:p w14:paraId="393BCCA1" w14:textId="77777777" w:rsidR="00E2392C" w:rsidRPr="00897528" w:rsidRDefault="00E2392C" w:rsidP="00897528">
      <w:pPr>
        <w:spacing w:line="360" w:lineRule="auto"/>
        <w:jc w:val="both"/>
        <w:rPr>
          <w:rFonts w:ascii="Verdana" w:eastAsia="Verdana" w:hAnsi="Verdana" w:cs="Verdana"/>
          <w:sz w:val="22"/>
          <w:szCs w:val="22"/>
        </w:rPr>
      </w:pPr>
    </w:p>
    <w:p w14:paraId="19011EF1" w14:textId="77777777" w:rsidR="00897528" w:rsidRPr="00897528" w:rsidRDefault="00897528" w:rsidP="00897528">
      <w:pPr>
        <w:spacing w:line="360" w:lineRule="auto"/>
        <w:jc w:val="both"/>
        <w:rPr>
          <w:rFonts w:ascii="Verdana" w:eastAsia="Verdana" w:hAnsi="Verdana" w:cs="Verdana"/>
          <w:sz w:val="22"/>
          <w:szCs w:val="22"/>
        </w:rPr>
      </w:pPr>
      <w:r w:rsidRPr="00E2392C">
        <w:rPr>
          <w:rFonts w:ascii="Verdana" w:eastAsia="Verdana" w:hAnsi="Verdana" w:cs="Verdana"/>
          <w:b/>
          <w:bCs/>
          <w:sz w:val="22"/>
          <w:szCs w:val="22"/>
        </w:rPr>
        <w:t>Il Managing Director del Fondo IDeA CCR II, Sara Bertolini</w:t>
      </w:r>
      <w:r w:rsidRPr="00897528">
        <w:rPr>
          <w:rFonts w:ascii="Verdana" w:eastAsia="Verdana" w:hAnsi="Verdana" w:cs="Verdana"/>
          <w:sz w:val="22"/>
          <w:szCs w:val="22"/>
        </w:rPr>
        <w:t xml:space="preserve">, commenta così l’operazione: “Il Fondo ha trovato in </w:t>
      </w:r>
      <w:proofErr w:type="spellStart"/>
      <w:r w:rsidRPr="00897528">
        <w:rPr>
          <w:rFonts w:ascii="Verdana" w:eastAsia="Verdana" w:hAnsi="Verdana" w:cs="Verdana"/>
          <w:sz w:val="22"/>
          <w:szCs w:val="22"/>
        </w:rPr>
        <w:t>NavMont</w:t>
      </w:r>
      <w:proofErr w:type="spellEnd"/>
      <w:r w:rsidRPr="00897528">
        <w:rPr>
          <w:rFonts w:ascii="Verdana" w:eastAsia="Verdana" w:hAnsi="Verdana" w:cs="Verdana"/>
          <w:sz w:val="22"/>
          <w:szCs w:val="22"/>
        </w:rPr>
        <w:t xml:space="preserve"> il “</w:t>
      </w:r>
      <w:proofErr w:type="spellStart"/>
      <w:r w:rsidRPr="00897528">
        <w:rPr>
          <w:rFonts w:ascii="Verdana" w:eastAsia="Verdana" w:hAnsi="Verdana" w:cs="Verdana"/>
          <w:sz w:val="22"/>
          <w:szCs w:val="22"/>
        </w:rPr>
        <w:t>champion</w:t>
      </w:r>
      <w:proofErr w:type="spellEnd"/>
      <w:r w:rsidRPr="00897528">
        <w:rPr>
          <w:rFonts w:ascii="Verdana" w:eastAsia="Verdana" w:hAnsi="Verdana" w:cs="Verdana"/>
          <w:sz w:val="22"/>
          <w:szCs w:val="22"/>
        </w:rPr>
        <w:t>” armatoriale a cui affidare il risultato del lavoro di questi ultimi anni. Siamo fiduciosi che questa partnership potrà mettere in sicurezza la flotta fino ad ora gestita dal Fondo e saprà altresì sfruttare alcune selezionate competenze di gestione e relazioni commerciali particolari che portiamo in dote”.</w:t>
      </w:r>
    </w:p>
    <w:p w14:paraId="7498C5EC" w14:textId="0977138A" w:rsidR="00897528" w:rsidRPr="00897528" w:rsidRDefault="00897528" w:rsidP="00897528">
      <w:pPr>
        <w:spacing w:line="360" w:lineRule="auto"/>
        <w:jc w:val="both"/>
        <w:rPr>
          <w:rFonts w:ascii="Verdana" w:eastAsia="Verdana" w:hAnsi="Verdana" w:cs="Verdana"/>
          <w:sz w:val="22"/>
          <w:szCs w:val="22"/>
        </w:rPr>
      </w:pPr>
      <w:r w:rsidRPr="00346F0B">
        <w:rPr>
          <w:rFonts w:ascii="Verdana" w:eastAsia="Verdana" w:hAnsi="Verdana" w:cs="Verdana"/>
          <w:b/>
          <w:bCs/>
          <w:sz w:val="22"/>
          <w:szCs w:val="22"/>
        </w:rPr>
        <w:t xml:space="preserve">Il CEO del Gruppo </w:t>
      </w:r>
      <w:proofErr w:type="spellStart"/>
      <w:r w:rsidRPr="00346F0B">
        <w:rPr>
          <w:rFonts w:ascii="Verdana" w:eastAsia="Verdana" w:hAnsi="Verdana" w:cs="Verdana"/>
          <w:b/>
          <w:bCs/>
          <w:sz w:val="22"/>
          <w:szCs w:val="22"/>
        </w:rPr>
        <w:t>NavMont</w:t>
      </w:r>
      <w:proofErr w:type="spellEnd"/>
      <w:r w:rsidRPr="00346F0B">
        <w:rPr>
          <w:rFonts w:ascii="Verdana" w:eastAsia="Verdana" w:hAnsi="Verdana" w:cs="Verdana"/>
          <w:b/>
          <w:bCs/>
          <w:sz w:val="22"/>
          <w:szCs w:val="22"/>
        </w:rPr>
        <w:t xml:space="preserve"> Fabio Montanari</w:t>
      </w:r>
      <w:r w:rsidRPr="00346F0B">
        <w:rPr>
          <w:rFonts w:ascii="Verdana" w:eastAsia="Verdana" w:hAnsi="Verdana" w:cs="Verdana"/>
          <w:sz w:val="22"/>
          <w:szCs w:val="22"/>
        </w:rPr>
        <w:t xml:space="preserve"> dichiara: “L’operazione di acquisto della Flotta gestita dal Fondo IDeA CCR II ci consentirà di </w:t>
      </w:r>
      <w:r w:rsidR="007E397F" w:rsidRPr="00346F0B">
        <w:rPr>
          <w:rFonts w:ascii="Verdana" w:eastAsia="Verdana" w:hAnsi="Verdana" w:cs="Verdana"/>
          <w:sz w:val="22"/>
          <w:szCs w:val="22"/>
        </w:rPr>
        <w:t>consolidare la nostra presenza nel settore dello shipping e di porre solide basi per</w:t>
      </w:r>
      <w:r w:rsidRPr="00346F0B">
        <w:rPr>
          <w:rFonts w:ascii="Verdana" w:eastAsia="Verdana" w:hAnsi="Verdana" w:cs="Verdana"/>
          <w:sz w:val="22"/>
          <w:szCs w:val="22"/>
        </w:rPr>
        <w:t xml:space="preserve"> aprirci a </w:t>
      </w:r>
      <w:r w:rsidR="007E397F" w:rsidRPr="00346F0B">
        <w:rPr>
          <w:rFonts w:ascii="Verdana" w:eastAsia="Verdana" w:hAnsi="Verdana" w:cs="Verdana"/>
          <w:sz w:val="22"/>
          <w:szCs w:val="22"/>
        </w:rPr>
        <w:t xml:space="preserve">nuovi </w:t>
      </w:r>
      <w:r w:rsidRPr="00346F0B">
        <w:rPr>
          <w:rFonts w:ascii="Verdana" w:eastAsia="Verdana" w:hAnsi="Verdana" w:cs="Verdana"/>
          <w:sz w:val="22"/>
          <w:szCs w:val="22"/>
        </w:rPr>
        <w:t>segmenti di mercato</w:t>
      </w:r>
      <w:r w:rsidR="007E397F" w:rsidRPr="00346F0B">
        <w:rPr>
          <w:rFonts w:ascii="Verdana" w:eastAsia="Verdana" w:hAnsi="Verdana" w:cs="Verdana"/>
          <w:sz w:val="22"/>
          <w:szCs w:val="22"/>
        </w:rPr>
        <w:t>,</w:t>
      </w:r>
      <w:r w:rsidRPr="00346F0B">
        <w:rPr>
          <w:rFonts w:ascii="Verdana" w:eastAsia="Verdana" w:hAnsi="Verdana" w:cs="Verdana"/>
          <w:sz w:val="22"/>
          <w:szCs w:val="22"/>
        </w:rPr>
        <w:t xml:space="preserve"> coerenti con </w:t>
      </w:r>
      <w:proofErr w:type="gramStart"/>
      <w:r w:rsidRPr="00346F0B">
        <w:rPr>
          <w:rFonts w:ascii="Verdana" w:eastAsia="Verdana" w:hAnsi="Verdana" w:cs="Verdana"/>
          <w:sz w:val="22"/>
          <w:szCs w:val="22"/>
        </w:rPr>
        <w:t>il trend</w:t>
      </w:r>
      <w:proofErr w:type="gramEnd"/>
      <w:r w:rsidRPr="00346F0B">
        <w:rPr>
          <w:rFonts w:ascii="Verdana" w:eastAsia="Verdana" w:hAnsi="Verdana" w:cs="Verdana"/>
          <w:sz w:val="22"/>
          <w:szCs w:val="22"/>
        </w:rPr>
        <w:t xml:space="preserve"> di evoluzione del settore. </w:t>
      </w:r>
      <w:r w:rsidR="007E397F" w:rsidRPr="00346F0B">
        <w:rPr>
          <w:rFonts w:ascii="Verdana" w:eastAsia="Verdana" w:hAnsi="Verdana" w:cs="Verdana"/>
          <w:sz w:val="22"/>
          <w:szCs w:val="22"/>
        </w:rPr>
        <w:t xml:space="preserve">Siamo lieti che il </w:t>
      </w:r>
      <w:r w:rsidRPr="00346F0B">
        <w:rPr>
          <w:rFonts w:ascii="Verdana" w:eastAsia="Verdana" w:hAnsi="Verdana" w:cs="Verdana"/>
          <w:sz w:val="22"/>
          <w:szCs w:val="22"/>
        </w:rPr>
        <w:t>Fondo ci supporterà per alcuni anni e siamo certi che rappresent</w:t>
      </w:r>
      <w:r w:rsidR="007E397F" w:rsidRPr="00346F0B">
        <w:rPr>
          <w:rFonts w:ascii="Verdana" w:eastAsia="Verdana" w:hAnsi="Verdana" w:cs="Verdana"/>
          <w:sz w:val="22"/>
          <w:szCs w:val="22"/>
        </w:rPr>
        <w:t>erà</w:t>
      </w:r>
      <w:r w:rsidRPr="00346F0B">
        <w:rPr>
          <w:rFonts w:ascii="Verdana" w:eastAsia="Verdana" w:hAnsi="Verdana" w:cs="Verdana"/>
          <w:sz w:val="22"/>
          <w:szCs w:val="22"/>
        </w:rPr>
        <w:t xml:space="preserve"> un partner finanziario </w:t>
      </w:r>
      <w:r w:rsidR="007E397F" w:rsidRPr="00346F0B">
        <w:rPr>
          <w:rFonts w:ascii="Verdana" w:eastAsia="Verdana" w:hAnsi="Verdana" w:cs="Verdana"/>
          <w:sz w:val="22"/>
          <w:szCs w:val="22"/>
        </w:rPr>
        <w:t>sensibile al</w:t>
      </w:r>
      <w:r w:rsidRPr="00346F0B">
        <w:rPr>
          <w:rFonts w:ascii="Verdana" w:eastAsia="Verdana" w:hAnsi="Verdana" w:cs="Verdana"/>
          <w:sz w:val="22"/>
          <w:szCs w:val="22"/>
        </w:rPr>
        <w:t>le dinamiche del settore</w:t>
      </w:r>
      <w:r w:rsidR="007E397F" w:rsidRPr="00346F0B">
        <w:rPr>
          <w:rFonts w:ascii="Verdana" w:eastAsia="Verdana" w:hAnsi="Verdana" w:cs="Verdana"/>
          <w:sz w:val="22"/>
          <w:szCs w:val="22"/>
        </w:rPr>
        <w:t xml:space="preserve"> armatoriale</w:t>
      </w:r>
      <w:r w:rsidRPr="00346F0B">
        <w:rPr>
          <w:rFonts w:ascii="Verdana" w:eastAsia="Verdana" w:hAnsi="Verdana" w:cs="Verdana"/>
          <w:sz w:val="22"/>
          <w:szCs w:val="22"/>
        </w:rPr>
        <w:t>”.</w:t>
      </w:r>
    </w:p>
    <w:p w14:paraId="2BE49EE9" w14:textId="77777777" w:rsidR="00156FB8" w:rsidRDefault="00156FB8" w:rsidP="008F0049">
      <w:pPr>
        <w:spacing w:after="160" w:line="256" w:lineRule="auto"/>
        <w:rPr>
          <w:rFonts w:ascii="Calibri" w:eastAsia="Calibri" w:hAnsi="Calibri"/>
          <w:b/>
          <w:bCs/>
          <w:sz w:val="22"/>
          <w:szCs w:val="22"/>
          <w:u w:val="single"/>
          <w:lang w:eastAsia="en-US"/>
        </w:rPr>
      </w:pPr>
    </w:p>
    <w:p w14:paraId="23C99C64" w14:textId="4D009F1B" w:rsidR="008F0049" w:rsidRPr="006133F9" w:rsidRDefault="008F0049" w:rsidP="008F0049">
      <w:pPr>
        <w:spacing w:after="160" w:line="256" w:lineRule="auto"/>
        <w:rPr>
          <w:rFonts w:ascii="Calibri" w:eastAsia="Calibri" w:hAnsi="Calibri"/>
          <w:sz w:val="22"/>
          <w:szCs w:val="22"/>
          <w:lang w:eastAsia="en-US"/>
        </w:rPr>
      </w:pPr>
      <w:r w:rsidRPr="006133F9">
        <w:rPr>
          <w:rFonts w:ascii="Calibri" w:eastAsia="Calibri" w:hAnsi="Calibri"/>
          <w:b/>
          <w:bCs/>
          <w:sz w:val="22"/>
          <w:szCs w:val="22"/>
          <w:u w:val="single"/>
          <w:lang w:eastAsia="en-US"/>
        </w:rPr>
        <w:t>DeA Capital Alternative Funds SGR</w:t>
      </w:r>
    </w:p>
    <w:p w14:paraId="08815E48" w14:textId="096AB073" w:rsidR="008F0049" w:rsidRDefault="008F0049" w:rsidP="008F0049">
      <w:pPr>
        <w:jc w:val="both"/>
        <w:rPr>
          <w:rFonts w:ascii="Verdana" w:eastAsia="Calibri" w:hAnsi="Verdana" w:cs="Calibri"/>
          <w:sz w:val="18"/>
          <w:szCs w:val="18"/>
        </w:rPr>
      </w:pPr>
      <w:r w:rsidRPr="006133F9">
        <w:rPr>
          <w:rFonts w:ascii="Verdana" w:eastAsia="Calibri" w:hAnsi="Verdana" w:cs="Calibri"/>
          <w:sz w:val="18"/>
          <w:szCs w:val="18"/>
        </w:rPr>
        <w:t xml:space="preserve">DeA Capital Alternative Funds SGR S.p.A., fondata nel dicembre 2006, è controllata al 100% da DeA Capital S.p.A., società del Gruppo De Agostini. DeA Capital Alternative Funds SGR è il principale asset manager indipendente italiano nel settore </w:t>
      </w:r>
      <w:proofErr w:type="gramStart"/>
      <w:r w:rsidRPr="006133F9">
        <w:rPr>
          <w:rFonts w:ascii="Verdana" w:eastAsia="Calibri" w:hAnsi="Verdana" w:cs="Calibri"/>
          <w:sz w:val="18"/>
          <w:szCs w:val="18"/>
        </w:rPr>
        <w:t xml:space="preserve">degli </w:t>
      </w:r>
      <w:r w:rsidRPr="006133F9">
        <w:rPr>
          <w:rFonts w:ascii="Verdana" w:eastAsia="Calibri" w:hAnsi="Verdana" w:cs="Calibri"/>
          <w:i/>
          <w:sz w:val="18"/>
          <w:szCs w:val="18"/>
        </w:rPr>
        <w:t>alternative</w:t>
      </w:r>
      <w:proofErr w:type="gramEnd"/>
      <w:r w:rsidRPr="006133F9">
        <w:rPr>
          <w:rFonts w:ascii="Verdana" w:eastAsia="Calibri" w:hAnsi="Verdana" w:cs="Calibri"/>
          <w:i/>
          <w:sz w:val="18"/>
          <w:szCs w:val="18"/>
        </w:rPr>
        <w:t xml:space="preserve"> asset</w:t>
      </w:r>
      <w:r w:rsidRPr="006133F9">
        <w:rPr>
          <w:rFonts w:ascii="Verdana" w:eastAsia="Calibri" w:hAnsi="Verdana" w:cs="Calibri"/>
          <w:sz w:val="18"/>
          <w:szCs w:val="18"/>
        </w:rPr>
        <w:t xml:space="preserve">, con </w:t>
      </w:r>
      <w:r w:rsidRPr="006133F9">
        <w:rPr>
          <w:rFonts w:ascii="Verdana" w:eastAsia="Calibri" w:hAnsi="Verdana" w:cs="Calibri"/>
          <w:b/>
          <w:sz w:val="18"/>
          <w:szCs w:val="18"/>
        </w:rPr>
        <w:t>€5</w:t>
      </w:r>
      <w:r w:rsidR="00297DA1">
        <w:rPr>
          <w:rFonts w:ascii="Verdana" w:eastAsia="Calibri" w:hAnsi="Verdana" w:cs="Calibri"/>
          <w:b/>
          <w:sz w:val="18"/>
          <w:szCs w:val="18"/>
        </w:rPr>
        <w:t>,5</w:t>
      </w:r>
      <w:r w:rsidRPr="006133F9">
        <w:rPr>
          <w:rFonts w:ascii="Verdana" w:eastAsia="Calibri" w:hAnsi="Verdana" w:cs="Calibri"/>
          <w:b/>
          <w:sz w:val="18"/>
          <w:szCs w:val="18"/>
        </w:rPr>
        <w:t xml:space="preserve"> miliardi di masse gestite</w:t>
      </w:r>
      <w:r w:rsidRPr="006133F9">
        <w:rPr>
          <w:rFonts w:ascii="Verdana" w:eastAsia="Calibri" w:hAnsi="Verdana" w:cs="Calibri"/>
          <w:sz w:val="18"/>
          <w:szCs w:val="18"/>
        </w:rPr>
        <w:t xml:space="preserve">, investite in particolare in fondi di fondi globali, in fondi diretti settoriali che investono in </w:t>
      </w:r>
      <w:r w:rsidRPr="006133F9">
        <w:rPr>
          <w:rFonts w:ascii="Verdana" w:eastAsia="Calibri" w:hAnsi="Verdana" w:cs="Calibri"/>
          <w:i/>
          <w:sz w:val="18"/>
          <w:szCs w:val="18"/>
        </w:rPr>
        <w:t>mid cap</w:t>
      </w:r>
      <w:r w:rsidRPr="006133F9">
        <w:rPr>
          <w:rFonts w:ascii="Verdana" w:eastAsia="Calibri" w:hAnsi="Verdana" w:cs="Calibri"/>
          <w:sz w:val="18"/>
          <w:szCs w:val="18"/>
        </w:rPr>
        <w:t>, in fondi di DIP (</w:t>
      </w:r>
      <w:r w:rsidRPr="006133F9">
        <w:rPr>
          <w:rFonts w:ascii="Verdana" w:eastAsia="Calibri" w:hAnsi="Verdana" w:cs="Calibri"/>
          <w:i/>
          <w:sz w:val="18"/>
          <w:szCs w:val="18"/>
        </w:rPr>
        <w:t>Debtor-in-Possession</w:t>
      </w:r>
      <w:r w:rsidRPr="006133F9">
        <w:rPr>
          <w:rFonts w:ascii="Verdana" w:eastAsia="Calibri" w:hAnsi="Verdana" w:cs="Calibri"/>
          <w:sz w:val="18"/>
          <w:szCs w:val="18"/>
        </w:rPr>
        <w:t>)</w:t>
      </w:r>
      <w:r w:rsidRPr="006133F9">
        <w:rPr>
          <w:rFonts w:ascii="Verdana" w:eastAsia="Calibri" w:hAnsi="Verdana" w:cs="Calibri"/>
          <w:i/>
          <w:sz w:val="18"/>
          <w:szCs w:val="18"/>
        </w:rPr>
        <w:t xml:space="preserve"> </w:t>
      </w:r>
      <w:r w:rsidRPr="006133F9">
        <w:rPr>
          <w:rFonts w:ascii="Verdana" w:eastAsia="Calibri" w:hAnsi="Verdana" w:cs="Calibri"/>
          <w:sz w:val="18"/>
          <w:szCs w:val="18"/>
        </w:rPr>
        <w:t>Financing, nonché in fondi di NPL.</w:t>
      </w:r>
    </w:p>
    <w:p w14:paraId="500D4D50" w14:textId="77777777" w:rsidR="008F0049" w:rsidRPr="006133F9" w:rsidRDefault="001E74EC" w:rsidP="008F0049">
      <w:pPr>
        <w:jc w:val="both"/>
        <w:rPr>
          <w:rFonts w:ascii="Verdana" w:eastAsia="Calibri" w:hAnsi="Verdana" w:cs="Calibri"/>
          <w:sz w:val="18"/>
          <w:szCs w:val="18"/>
        </w:rPr>
      </w:pPr>
      <w:hyperlink r:id="rId8" w:history="1">
        <w:r w:rsidR="008F0049" w:rsidRPr="006133F9">
          <w:rPr>
            <w:rFonts w:ascii="Verdana" w:eastAsia="Calibri" w:hAnsi="Verdana" w:cs="Calibri"/>
            <w:sz w:val="18"/>
            <w:szCs w:val="18"/>
          </w:rPr>
          <w:t>www.deacapitalaf.com</w:t>
        </w:r>
      </w:hyperlink>
      <w:r w:rsidR="008F0049" w:rsidRPr="006133F9">
        <w:rPr>
          <w:rFonts w:ascii="Verdana" w:eastAsia="Calibri" w:hAnsi="Verdana" w:cs="Calibri"/>
          <w:sz w:val="18"/>
          <w:szCs w:val="18"/>
        </w:rPr>
        <w:t xml:space="preserve"> </w:t>
      </w:r>
    </w:p>
    <w:p w14:paraId="295BE70E" w14:textId="77777777" w:rsidR="008F0049" w:rsidRPr="006133F9" w:rsidRDefault="008F0049" w:rsidP="008F0049">
      <w:pPr>
        <w:jc w:val="both"/>
        <w:rPr>
          <w:rFonts w:ascii="Verdana" w:hAnsi="Verdana"/>
          <w:sz w:val="18"/>
          <w:szCs w:val="18"/>
        </w:rPr>
      </w:pPr>
    </w:p>
    <w:p w14:paraId="45BBDAA1" w14:textId="77777777" w:rsidR="008F0049" w:rsidRPr="006133F9" w:rsidRDefault="008F0049" w:rsidP="008F0049">
      <w:pPr>
        <w:jc w:val="both"/>
        <w:rPr>
          <w:rFonts w:ascii="Verdana" w:eastAsia="Calibri" w:hAnsi="Verdana" w:cs="Calibri"/>
          <w:sz w:val="18"/>
          <w:szCs w:val="18"/>
        </w:rPr>
      </w:pPr>
      <w:r w:rsidRPr="006133F9">
        <w:rPr>
          <w:rFonts w:ascii="Verdana" w:eastAsia="Calibri" w:hAnsi="Verdana" w:cs="Calibri"/>
          <w:sz w:val="18"/>
          <w:szCs w:val="18"/>
        </w:rPr>
        <w:t>Per ulteriori informazioni:</w:t>
      </w:r>
    </w:p>
    <w:p w14:paraId="09E691C5" w14:textId="77777777" w:rsidR="008F0049" w:rsidRPr="006133F9" w:rsidRDefault="008F0049" w:rsidP="008F0049">
      <w:pPr>
        <w:jc w:val="both"/>
        <w:rPr>
          <w:rFonts w:ascii="Verdana" w:eastAsia="Calibri" w:hAnsi="Verdana" w:cs="Calibri"/>
          <w:b/>
          <w:bCs/>
          <w:sz w:val="18"/>
          <w:szCs w:val="18"/>
        </w:rPr>
      </w:pPr>
      <w:r w:rsidRPr="006133F9">
        <w:rPr>
          <w:rFonts w:ascii="Verdana" w:eastAsia="Calibri" w:hAnsi="Verdana" w:cs="Calibri"/>
          <w:b/>
          <w:bCs/>
          <w:sz w:val="18"/>
          <w:szCs w:val="18"/>
        </w:rPr>
        <w:t>DeA Capital S.p.A.</w:t>
      </w:r>
    </w:p>
    <w:p w14:paraId="6D72F04E" w14:textId="77777777" w:rsidR="008F0049" w:rsidRPr="006133F9" w:rsidRDefault="008F0049" w:rsidP="008F0049">
      <w:pPr>
        <w:jc w:val="both"/>
        <w:rPr>
          <w:rFonts w:ascii="Verdana" w:eastAsia="Calibri" w:hAnsi="Verdana" w:cs="Calibri"/>
          <w:sz w:val="18"/>
          <w:szCs w:val="18"/>
        </w:rPr>
      </w:pPr>
      <w:r w:rsidRPr="006133F9">
        <w:rPr>
          <w:rFonts w:ascii="Verdana" w:eastAsia="Calibri" w:hAnsi="Verdana" w:cs="Calibri"/>
          <w:sz w:val="18"/>
          <w:szCs w:val="18"/>
        </w:rPr>
        <w:t>Comunicazione e Ufficio Stampa</w:t>
      </w:r>
    </w:p>
    <w:p w14:paraId="2AE5B9CE" w14:textId="77777777" w:rsidR="008F0049" w:rsidRPr="006133F9" w:rsidRDefault="008F0049" w:rsidP="008F0049">
      <w:pPr>
        <w:jc w:val="both"/>
        <w:rPr>
          <w:rFonts w:ascii="Verdana" w:eastAsia="Calibri" w:hAnsi="Verdana" w:cs="Calibri"/>
          <w:sz w:val="18"/>
          <w:szCs w:val="18"/>
        </w:rPr>
      </w:pPr>
      <w:r w:rsidRPr="006133F9">
        <w:rPr>
          <w:rFonts w:ascii="Verdana" w:eastAsia="Calibri" w:hAnsi="Verdana" w:cs="Calibri"/>
          <w:sz w:val="18"/>
          <w:szCs w:val="18"/>
        </w:rPr>
        <w:t>Marco Scopigno</w:t>
      </w:r>
    </w:p>
    <w:p w14:paraId="6D79D3F3" w14:textId="7B4BED90" w:rsidR="008F0049" w:rsidRPr="006133F9" w:rsidRDefault="008F0049" w:rsidP="008F0049">
      <w:pPr>
        <w:jc w:val="both"/>
        <w:rPr>
          <w:rFonts w:ascii="Verdana" w:eastAsia="Calibri" w:hAnsi="Verdana" w:cs="Calibri"/>
          <w:sz w:val="18"/>
          <w:szCs w:val="18"/>
        </w:rPr>
      </w:pPr>
      <w:r w:rsidRPr="006133F9">
        <w:rPr>
          <w:rFonts w:ascii="Verdana" w:eastAsia="Calibri" w:hAnsi="Verdana" w:cs="Calibri"/>
          <w:sz w:val="18"/>
          <w:szCs w:val="18"/>
        </w:rPr>
        <w:t>T. +39 02 62499533</w:t>
      </w:r>
    </w:p>
    <w:p w14:paraId="75C4F59A" w14:textId="77777777" w:rsidR="008F0049" w:rsidRPr="006133F9" w:rsidRDefault="008F0049" w:rsidP="008F0049">
      <w:pPr>
        <w:jc w:val="both"/>
        <w:rPr>
          <w:rFonts w:ascii="Verdana" w:eastAsia="Calibri" w:hAnsi="Verdana" w:cs="Calibri"/>
          <w:sz w:val="18"/>
          <w:szCs w:val="18"/>
        </w:rPr>
      </w:pPr>
      <w:r w:rsidRPr="006133F9">
        <w:rPr>
          <w:rFonts w:ascii="Verdana" w:eastAsia="Calibri" w:hAnsi="Verdana" w:cs="Calibri"/>
          <w:sz w:val="18"/>
          <w:szCs w:val="18"/>
        </w:rPr>
        <w:t>M. +39 348 0173826</w:t>
      </w:r>
    </w:p>
    <w:p w14:paraId="471BD556" w14:textId="49EABA79" w:rsidR="00713B18" w:rsidRPr="006133F9" w:rsidRDefault="001E74EC" w:rsidP="00156FB8">
      <w:pPr>
        <w:jc w:val="both"/>
        <w:rPr>
          <w:rFonts w:ascii="Verdana" w:eastAsia="Calibri" w:hAnsi="Verdana" w:cs="Calibri"/>
          <w:sz w:val="18"/>
          <w:szCs w:val="18"/>
        </w:rPr>
      </w:pPr>
      <w:hyperlink r:id="rId9" w:history="1">
        <w:r w:rsidR="008F0049" w:rsidRPr="006133F9">
          <w:rPr>
            <w:rFonts w:ascii="Verdana" w:eastAsia="Calibri" w:hAnsi="Verdana" w:cs="Calibri"/>
            <w:sz w:val="18"/>
            <w:szCs w:val="18"/>
          </w:rPr>
          <w:t>marco.scopigno@deacapital.com</w:t>
        </w:r>
      </w:hyperlink>
    </w:p>
    <w:sectPr w:rsidR="00713B18" w:rsidRPr="006133F9">
      <w:pgSz w:w="11906" w:h="16838"/>
      <w:pgMar w:top="1134"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CE15B" w14:textId="77777777" w:rsidR="001E74EC" w:rsidRDefault="001E74EC" w:rsidP="005E605F">
      <w:r>
        <w:separator/>
      </w:r>
    </w:p>
  </w:endnote>
  <w:endnote w:type="continuationSeparator" w:id="0">
    <w:p w14:paraId="27235467" w14:textId="77777777" w:rsidR="001E74EC" w:rsidRDefault="001E74EC" w:rsidP="005E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5065F" w14:textId="77777777" w:rsidR="001E74EC" w:rsidRDefault="001E74EC" w:rsidP="005E605F">
      <w:r>
        <w:separator/>
      </w:r>
    </w:p>
  </w:footnote>
  <w:footnote w:type="continuationSeparator" w:id="0">
    <w:p w14:paraId="3F55025E" w14:textId="77777777" w:rsidR="001E74EC" w:rsidRDefault="001E74EC" w:rsidP="005E6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61DD3"/>
    <w:multiLevelType w:val="multilevel"/>
    <w:tmpl w:val="9BA20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67028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36F"/>
    <w:rsid w:val="00044026"/>
    <w:rsid w:val="00056B5C"/>
    <w:rsid w:val="00061201"/>
    <w:rsid w:val="00085AC4"/>
    <w:rsid w:val="00092820"/>
    <w:rsid w:val="000D2EC7"/>
    <w:rsid w:val="000D572D"/>
    <w:rsid w:val="000E2756"/>
    <w:rsid w:val="000E4309"/>
    <w:rsid w:val="000F1390"/>
    <w:rsid w:val="000F3DDE"/>
    <w:rsid w:val="000F400E"/>
    <w:rsid w:val="00114CCA"/>
    <w:rsid w:val="001202E8"/>
    <w:rsid w:val="00122792"/>
    <w:rsid w:val="001250D0"/>
    <w:rsid w:val="00125261"/>
    <w:rsid w:val="00142DE9"/>
    <w:rsid w:val="00155D53"/>
    <w:rsid w:val="00156FB8"/>
    <w:rsid w:val="001577EC"/>
    <w:rsid w:val="00195649"/>
    <w:rsid w:val="001B6EB9"/>
    <w:rsid w:val="001E50EB"/>
    <w:rsid w:val="001E74EC"/>
    <w:rsid w:val="00254A8C"/>
    <w:rsid w:val="00297DA1"/>
    <w:rsid w:val="002A7B14"/>
    <w:rsid w:val="002C0B62"/>
    <w:rsid w:val="003078BD"/>
    <w:rsid w:val="0031137E"/>
    <w:rsid w:val="003119AA"/>
    <w:rsid w:val="00346F0B"/>
    <w:rsid w:val="003634E5"/>
    <w:rsid w:val="00382984"/>
    <w:rsid w:val="003A46AC"/>
    <w:rsid w:val="003B28E3"/>
    <w:rsid w:val="003B2EB1"/>
    <w:rsid w:val="003E5AC4"/>
    <w:rsid w:val="004675CF"/>
    <w:rsid w:val="00490E23"/>
    <w:rsid w:val="00490E6C"/>
    <w:rsid w:val="00493DF8"/>
    <w:rsid w:val="004A3E0F"/>
    <w:rsid w:val="004B3E36"/>
    <w:rsid w:val="004C0BDD"/>
    <w:rsid w:val="004D352C"/>
    <w:rsid w:val="004E17FF"/>
    <w:rsid w:val="00560035"/>
    <w:rsid w:val="00561904"/>
    <w:rsid w:val="005A41A4"/>
    <w:rsid w:val="005C685C"/>
    <w:rsid w:val="005D6D89"/>
    <w:rsid w:val="005E605F"/>
    <w:rsid w:val="0060020A"/>
    <w:rsid w:val="006133F9"/>
    <w:rsid w:val="00617D9A"/>
    <w:rsid w:val="00657527"/>
    <w:rsid w:val="00677FCF"/>
    <w:rsid w:val="00696B60"/>
    <w:rsid w:val="006A0F71"/>
    <w:rsid w:val="006A2EF5"/>
    <w:rsid w:val="006B0D2D"/>
    <w:rsid w:val="006C5299"/>
    <w:rsid w:val="006D09E3"/>
    <w:rsid w:val="00712385"/>
    <w:rsid w:val="00713B18"/>
    <w:rsid w:val="00726B0D"/>
    <w:rsid w:val="00735036"/>
    <w:rsid w:val="00792CF7"/>
    <w:rsid w:val="00796BDC"/>
    <w:rsid w:val="007B5668"/>
    <w:rsid w:val="007C0B1B"/>
    <w:rsid w:val="007D3502"/>
    <w:rsid w:val="007E397F"/>
    <w:rsid w:val="008323EE"/>
    <w:rsid w:val="00840B1A"/>
    <w:rsid w:val="008542ED"/>
    <w:rsid w:val="00854CC8"/>
    <w:rsid w:val="008558A4"/>
    <w:rsid w:val="008857D0"/>
    <w:rsid w:val="00897528"/>
    <w:rsid w:val="008D38DA"/>
    <w:rsid w:val="008E4DCD"/>
    <w:rsid w:val="008F0049"/>
    <w:rsid w:val="00911F2F"/>
    <w:rsid w:val="009250F6"/>
    <w:rsid w:val="00931977"/>
    <w:rsid w:val="0095691E"/>
    <w:rsid w:val="00980554"/>
    <w:rsid w:val="00987FF9"/>
    <w:rsid w:val="0099101A"/>
    <w:rsid w:val="00993DD9"/>
    <w:rsid w:val="009A5A73"/>
    <w:rsid w:val="00A05A3D"/>
    <w:rsid w:val="00A11865"/>
    <w:rsid w:val="00A22988"/>
    <w:rsid w:val="00A37986"/>
    <w:rsid w:val="00A74F1D"/>
    <w:rsid w:val="00AA1E94"/>
    <w:rsid w:val="00AA7771"/>
    <w:rsid w:val="00AB1DB7"/>
    <w:rsid w:val="00AC7352"/>
    <w:rsid w:val="00AE67F0"/>
    <w:rsid w:val="00B2354D"/>
    <w:rsid w:val="00B266F9"/>
    <w:rsid w:val="00B2731E"/>
    <w:rsid w:val="00B81E5D"/>
    <w:rsid w:val="00BE6D5D"/>
    <w:rsid w:val="00BF310A"/>
    <w:rsid w:val="00C0646A"/>
    <w:rsid w:val="00C16CE2"/>
    <w:rsid w:val="00C21320"/>
    <w:rsid w:val="00C6146A"/>
    <w:rsid w:val="00CC7393"/>
    <w:rsid w:val="00CD25F9"/>
    <w:rsid w:val="00CD336F"/>
    <w:rsid w:val="00D058F7"/>
    <w:rsid w:val="00D72C5E"/>
    <w:rsid w:val="00DC1955"/>
    <w:rsid w:val="00DE32D3"/>
    <w:rsid w:val="00E07735"/>
    <w:rsid w:val="00E2392C"/>
    <w:rsid w:val="00E72173"/>
    <w:rsid w:val="00E838A4"/>
    <w:rsid w:val="00E874C1"/>
    <w:rsid w:val="00E904D1"/>
    <w:rsid w:val="00EA187E"/>
    <w:rsid w:val="00EA1B2E"/>
    <w:rsid w:val="00EA7117"/>
    <w:rsid w:val="00EC68CA"/>
    <w:rsid w:val="00ED6E31"/>
    <w:rsid w:val="00EE09F3"/>
    <w:rsid w:val="00F03025"/>
    <w:rsid w:val="00F46033"/>
    <w:rsid w:val="00F46951"/>
    <w:rsid w:val="00F50523"/>
    <w:rsid w:val="00F802FC"/>
    <w:rsid w:val="00FB03AE"/>
    <w:rsid w:val="00FB5ED6"/>
    <w:rsid w:val="00FC2FEE"/>
    <w:rsid w:val="00FC4F13"/>
    <w:rsid w:val="00FD06FB"/>
    <w:rsid w:val="00FF7D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52F2"/>
  <w15:docId w15:val="{03E1D7DC-75B7-4BFD-96B5-47377EFC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9A5A73"/>
    <w:rPr>
      <w:color w:val="0000FF" w:themeColor="hyperlink"/>
      <w:u w:val="single"/>
    </w:rPr>
  </w:style>
  <w:style w:type="paragraph" w:styleId="Testofumetto">
    <w:name w:val="Balloon Text"/>
    <w:basedOn w:val="Normale"/>
    <w:link w:val="TestofumettoCarattere"/>
    <w:uiPriority w:val="99"/>
    <w:semiHidden/>
    <w:unhideWhenUsed/>
    <w:rsid w:val="00AC73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7352"/>
    <w:rPr>
      <w:rFonts w:ascii="Tahoma" w:hAnsi="Tahoma" w:cs="Tahoma"/>
      <w:sz w:val="16"/>
      <w:szCs w:val="16"/>
    </w:rPr>
  </w:style>
  <w:style w:type="character" w:customStyle="1" w:styleId="Menzionenonrisolta1">
    <w:name w:val="Menzione non risolta1"/>
    <w:basedOn w:val="Carpredefinitoparagrafo"/>
    <w:uiPriority w:val="99"/>
    <w:semiHidden/>
    <w:unhideWhenUsed/>
    <w:rsid w:val="00713B18"/>
    <w:rPr>
      <w:color w:val="605E5C"/>
      <w:shd w:val="clear" w:color="auto" w:fill="E1DFDD"/>
    </w:rPr>
  </w:style>
  <w:style w:type="paragraph" w:styleId="Intestazione">
    <w:name w:val="header"/>
    <w:basedOn w:val="Normale"/>
    <w:link w:val="IntestazioneCarattere"/>
    <w:uiPriority w:val="99"/>
    <w:unhideWhenUsed/>
    <w:rsid w:val="005E605F"/>
    <w:pPr>
      <w:tabs>
        <w:tab w:val="center" w:pos="4680"/>
        <w:tab w:val="right" w:pos="9360"/>
      </w:tabs>
    </w:pPr>
  </w:style>
  <w:style w:type="character" w:customStyle="1" w:styleId="IntestazioneCarattere">
    <w:name w:val="Intestazione Carattere"/>
    <w:basedOn w:val="Carpredefinitoparagrafo"/>
    <w:link w:val="Intestazione"/>
    <w:uiPriority w:val="99"/>
    <w:rsid w:val="005E605F"/>
  </w:style>
  <w:style w:type="paragraph" w:styleId="Pidipagina">
    <w:name w:val="footer"/>
    <w:basedOn w:val="Normale"/>
    <w:link w:val="PidipaginaCarattere"/>
    <w:uiPriority w:val="99"/>
    <w:unhideWhenUsed/>
    <w:rsid w:val="005E605F"/>
    <w:pPr>
      <w:tabs>
        <w:tab w:val="center" w:pos="4680"/>
        <w:tab w:val="right" w:pos="9360"/>
      </w:tabs>
    </w:pPr>
  </w:style>
  <w:style w:type="character" w:customStyle="1" w:styleId="PidipaginaCarattere">
    <w:name w:val="Piè di pagina Carattere"/>
    <w:basedOn w:val="Carpredefinitoparagrafo"/>
    <w:link w:val="Pidipagina"/>
    <w:uiPriority w:val="99"/>
    <w:rsid w:val="005E605F"/>
  </w:style>
  <w:style w:type="paragraph" w:customStyle="1" w:styleId="Default">
    <w:name w:val="Default"/>
    <w:rsid w:val="008E4DCD"/>
    <w:pPr>
      <w:autoSpaceDE w:val="0"/>
      <w:autoSpaceDN w:val="0"/>
      <w:adjustRightInd w:val="0"/>
    </w:pPr>
    <w:rPr>
      <w:rFonts w:ascii="Verdana" w:hAnsi="Verdana" w:cs="Verdana"/>
      <w:color w:val="000000"/>
      <w:lang w:val="en-GB"/>
    </w:rPr>
  </w:style>
  <w:style w:type="character" w:styleId="Rimandocommento">
    <w:name w:val="annotation reference"/>
    <w:basedOn w:val="Carpredefinitoparagrafo"/>
    <w:uiPriority w:val="99"/>
    <w:semiHidden/>
    <w:unhideWhenUsed/>
    <w:rsid w:val="00A11865"/>
    <w:rPr>
      <w:sz w:val="16"/>
      <w:szCs w:val="16"/>
    </w:rPr>
  </w:style>
  <w:style w:type="paragraph" w:styleId="Testocommento">
    <w:name w:val="annotation text"/>
    <w:basedOn w:val="Normale"/>
    <w:link w:val="TestocommentoCarattere"/>
    <w:uiPriority w:val="99"/>
    <w:semiHidden/>
    <w:unhideWhenUsed/>
    <w:rsid w:val="00A11865"/>
    <w:rPr>
      <w:sz w:val="20"/>
      <w:szCs w:val="20"/>
    </w:rPr>
  </w:style>
  <w:style w:type="character" w:customStyle="1" w:styleId="TestocommentoCarattere">
    <w:name w:val="Testo commento Carattere"/>
    <w:basedOn w:val="Carpredefinitoparagrafo"/>
    <w:link w:val="Testocommento"/>
    <w:uiPriority w:val="99"/>
    <w:semiHidden/>
    <w:rsid w:val="00A11865"/>
    <w:rPr>
      <w:sz w:val="20"/>
      <w:szCs w:val="20"/>
    </w:rPr>
  </w:style>
  <w:style w:type="paragraph" w:styleId="Soggettocommento">
    <w:name w:val="annotation subject"/>
    <w:basedOn w:val="Testocommento"/>
    <w:next w:val="Testocommento"/>
    <w:link w:val="SoggettocommentoCarattere"/>
    <w:uiPriority w:val="99"/>
    <w:semiHidden/>
    <w:unhideWhenUsed/>
    <w:rsid w:val="00A11865"/>
    <w:rPr>
      <w:b/>
      <w:bCs/>
    </w:rPr>
  </w:style>
  <w:style w:type="character" w:customStyle="1" w:styleId="SoggettocommentoCarattere">
    <w:name w:val="Soggetto commento Carattere"/>
    <w:basedOn w:val="TestocommentoCarattere"/>
    <w:link w:val="Soggettocommento"/>
    <w:uiPriority w:val="99"/>
    <w:semiHidden/>
    <w:rsid w:val="00A11865"/>
    <w:rPr>
      <w:b/>
      <w:bCs/>
      <w:sz w:val="20"/>
      <w:szCs w:val="20"/>
    </w:rPr>
  </w:style>
  <w:style w:type="paragraph" w:styleId="Revisione">
    <w:name w:val="Revision"/>
    <w:hidden/>
    <w:uiPriority w:val="99"/>
    <w:semiHidden/>
    <w:rsid w:val="00FF7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08312">
      <w:bodyDiv w:val="1"/>
      <w:marLeft w:val="0"/>
      <w:marRight w:val="0"/>
      <w:marTop w:val="0"/>
      <w:marBottom w:val="0"/>
      <w:divBdr>
        <w:top w:val="none" w:sz="0" w:space="0" w:color="auto"/>
        <w:left w:val="none" w:sz="0" w:space="0" w:color="auto"/>
        <w:bottom w:val="none" w:sz="0" w:space="0" w:color="auto"/>
        <w:right w:val="none" w:sz="0" w:space="0" w:color="auto"/>
      </w:divBdr>
    </w:div>
    <w:div w:id="1063943093">
      <w:bodyDiv w:val="1"/>
      <w:marLeft w:val="0"/>
      <w:marRight w:val="0"/>
      <w:marTop w:val="0"/>
      <w:marBottom w:val="0"/>
      <w:divBdr>
        <w:top w:val="none" w:sz="0" w:space="0" w:color="auto"/>
        <w:left w:val="none" w:sz="0" w:space="0" w:color="auto"/>
        <w:bottom w:val="none" w:sz="0" w:space="0" w:color="auto"/>
        <w:right w:val="none" w:sz="0" w:space="0" w:color="auto"/>
      </w:divBdr>
    </w:div>
    <w:div w:id="1102339421">
      <w:bodyDiv w:val="1"/>
      <w:marLeft w:val="0"/>
      <w:marRight w:val="0"/>
      <w:marTop w:val="0"/>
      <w:marBottom w:val="0"/>
      <w:divBdr>
        <w:top w:val="none" w:sz="0" w:space="0" w:color="auto"/>
        <w:left w:val="none" w:sz="0" w:space="0" w:color="auto"/>
        <w:bottom w:val="none" w:sz="0" w:space="0" w:color="auto"/>
        <w:right w:val="none" w:sz="0" w:space="0" w:color="auto"/>
      </w:divBdr>
    </w:div>
    <w:div w:id="1705986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capitalaf.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co.scopigno@deacap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677</Words>
  <Characters>3861</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Bertoncello Andrea</dc:creator>
  <cp:lastModifiedBy>Scopigno Marco</cp:lastModifiedBy>
  <cp:revision>4</cp:revision>
  <cp:lastPrinted>2022-04-21T10:25:00Z</cp:lastPrinted>
  <dcterms:created xsi:type="dcterms:W3CDTF">2022-05-10T14:12:00Z</dcterms:created>
  <dcterms:modified xsi:type="dcterms:W3CDTF">2022-05-10T14:14:00Z</dcterms:modified>
</cp:coreProperties>
</file>