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3BFE" w14:textId="0EF39797" w:rsidR="00C82052" w:rsidRPr="009A4FDB" w:rsidRDefault="00DC6263" w:rsidP="008B765D">
      <w:pPr>
        <w:keepNext/>
        <w:keepLines/>
        <w:spacing w:line="264" w:lineRule="auto"/>
        <w:jc w:val="center"/>
        <w:rPr>
          <w:b/>
          <w:lang w:val="en-GB"/>
        </w:rPr>
      </w:pPr>
      <w:bookmarkStart w:id="0" w:name="_Hlk22197864"/>
      <w:bookmarkStart w:id="1" w:name="_Hlk15838610"/>
      <w:bookmarkEnd w:id="0"/>
      <w:r w:rsidRPr="001E0B22">
        <w:rPr>
          <w:b/>
          <w:noProof/>
          <w:lang w:val="en-US"/>
        </w:rPr>
        <w:drawing>
          <wp:inline distT="0" distB="0" distL="0" distR="0" wp14:anchorId="18DE330D" wp14:editId="1F59416E">
            <wp:extent cx="863600" cy="93980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664221" name="Immagin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63600" cy="939800"/>
                    </a:xfrm>
                    <a:prstGeom prst="rect">
                      <a:avLst/>
                    </a:prstGeom>
                    <a:noFill/>
                    <a:ln>
                      <a:noFill/>
                    </a:ln>
                  </pic:spPr>
                </pic:pic>
              </a:graphicData>
            </a:graphic>
          </wp:inline>
        </w:drawing>
      </w:r>
    </w:p>
    <w:p w14:paraId="5C75718A" w14:textId="77777777" w:rsidR="00722B95" w:rsidRPr="00EC07B5" w:rsidRDefault="00DC6263" w:rsidP="008B765D">
      <w:pPr>
        <w:keepNext/>
        <w:keepLines/>
        <w:spacing w:line="264" w:lineRule="auto"/>
        <w:jc w:val="center"/>
        <w:rPr>
          <w:i/>
          <w:lang w:val="en-US"/>
        </w:rPr>
      </w:pPr>
      <w:r w:rsidRPr="00EC07B5">
        <w:rPr>
          <w:i/>
          <w:lang w:val="en-US"/>
        </w:rPr>
        <w:t>NOT FOR RELEASE, PUBLICATION OR DISTRIBUTION, IN WHOLE OR IN PART, DIRECTLY OR INDIRECTLY, IN OR INTO, THE UNITED STATES OF AMERICA (INCLUDING ITS TERRITORIES AND POSSESSIONS, ANY STATE OF THE UNITED STATES AND THE DISTRICT OF COLUMBIA), JAPAN, CANADA, AUSTRALIA OR ANY OTHER JURISDICTION IN VIOLATION OF THE RELEVANT LAWS OF SUCH JURISDICTION.</w:t>
      </w:r>
    </w:p>
    <w:p w14:paraId="2091950D" w14:textId="77777777" w:rsidR="00C775CE" w:rsidRPr="00EC07B5" w:rsidRDefault="00DC6263" w:rsidP="008B765D">
      <w:pPr>
        <w:keepNext/>
        <w:keepLines/>
        <w:spacing w:after="0" w:line="264" w:lineRule="auto"/>
        <w:jc w:val="center"/>
        <w:rPr>
          <w:b/>
          <w:u w:val="single"/>
        </w:rPr>
      </w:pPr>
      <w:r w:rsidRPr="00963CBF">
        <w:rPr>
          <w:b/>
          <w:u w:val="single"/>
          <w:lang w:val="en-US"/>
        </w:rPr>
        <w:br/>
      </w:r>
      <w:bookmarkEnd w:id="1"/>
      <w:r w:rsidRPr="00EC07B5">
        <w:rPr>
          <w:b/>
          <w:u w:val="single"/>
        </w:rPr>
        <w:t>Comunicato stampa</w:t>
      </w:r>
    </w:p>
    <w:p w14:paraId="0C0FC601" w14:textId="77777777" w:rsidR="00294134" w:rsidRDefault="00294134" w:rsidP="008B765D">
      <w:pPr>
        <w:keepNext/>
        <w:keepLines/>
        <w:spacing w:after="0" w:line="264" w:lineRule="auto"/>
        <w:jc w:val="center"/>
        <w:rPr>
          <w:b/>
          <w:color w:val="538135"/>
          <w:sz w:val="28"/>
        </w:rPr>
      </w:pPr>
    </w:p>
    <w:p w14:paraId="542BC344" w14:textId="230CDBCA" w:rsidR="007D2438" w:rsidRDefault="00DC6263" w:rsidP="008B765D">
      <w:pPr>
        <w:keepNext/>
        <w:keepLines/>
        <w:spacing w:after="0" w:line="264" w:lineRule="auto"/>
        <w:jc w:val="center"/>
        <w:rPr>
          <w:b/>
          <w:color w:val="538135"/>
          <w:sz w:val="28"/>
        </w:rPr>
      </w:pPr>
      <w:r>
        <w:rPr>
          <w:b/>
          <w:color w:val="538135"/>
          <w:sz w:val="28"/>
        </w:rPr>
        <w:t xml:space="preserve">IPO GENERALFINANCE: </w:t>
      </w:r>
      <w:r w:rsidR="00882D9A">
        <w:rPr>
          <w:b/>
          <w:color w:val="538135"/>
          <w:sz w:val="28"/>
        </w:rPr>
        <w:t xml:space="preserve">CONCLUSA CON SUCCESSO </w:t>
      </w:r>
      <w:r w:rsidR="00AA1E21">
        <w:rPr>
          <w:b/>
          <w:color w:val="538135"/>
          <w:sz w:val="28"/>
        </w:rPr>
        <w:t>L’OFFERTA</w:t>
      </w:r>
    </w:p>
    <w:p w14:paraId="2DEEFCAB" w14:textId="77777777" w:rsidR="00F34208" w:rsidRDefault="00F34208" w:rsidP="008B765D">
      <w:pPr>
        <w:keepNext/>
        <w:keepLines/>
        <w:spacing w:after="0" w:line="264" w:lineRule="auto"/>
        <w:jc w:val="center"/>
        <w:rPr>
          <w:b/>
          <w:color w:val="538135"/>
          <w:sz w:val="28"/>
        </w:rPr>
      </w:pPr>
    </w:p>
    <w:p w14:paraId="302DFE6F" w14:textId="69A45D58" w:rsidR="007D2438" w:rsidRPr="007D2438" w:rsidRDefault="00DC6263" w:rsidP="008B765D">
      <w:pPr>
        <w:pStyle w:val="Paragrafoelenco"/>
        <w:keepNext/>
        <w:keepLines/>
        <w:numPr>
          <w:ilvl w:val="0"/>
          <w:numId w:val="9"/>
        </w:numPr>
        <w:jc w:val="both"/>
        <w:rPr>
          <w:b/>
          <w:iCs/>
          <w:color w:val="538135"/>
          <w:sz w:val="28"/>
        </w:rPr>
      </w:pPr>
      <w:r w:rsidRPr="007D2438">
        <w:rPr>
          <w:b/>
          <w:iCs/>
          <w:color w:val="538135"/>
          <w:sz w:val="28"/>
        </w:rPr>
        <w:t xml:space="preserve">Prezzo di Offerta fissato a Euro </w:t>
      </w:r>
      <w:r w:rsidR="009E6238">
        <w:rPr>
          <w:b/>
          <w:iCs/>
          <w:color w:val="538135"/>
          <w:sz w:val="28"/>
        </w:rPr>
        <w:t>7,2</w:t>
      </w:r>
      <w:r w:rsidR="00A97B33">
        <w:rPr>
          <w:b/>
          <w:iCs/>
          <w:color w:val="538135"/>
          <w:sz w:val="28"/>
        </w:rPr>
        <w:t>0</w:t>
      </w:r>
      <w:r w:rsidR="009E6238">
        <w:rPr>
          <w:b/>
          <w:iCs/>
          <w:color w:val="538135"/>
          <w:sz w:val="28"/>
        </w:rPr>
        <w:t xml:space="preserve"> </w:t>
      </w:r>
      <w:r w:rsidRPr="007D2438">
        <w:rPr>
          <w:b/>
          <w:iCs/>
          <w:color w:val="538135"/>
          <w:sz w:val="28"/>
        </w:rPr>
        <w:t xml:space="preserve">per </w:t>
      </w:r>
      <w:r w:rsidR="00BF7318">
        <w:rPr>
          <w:b/>
          <w:iCs/>
          <w:color w:val="538135"/>
          <w:sz w:val="28"/>
        </w:rPr>
        <w:t>A</w:t>
      </w:r>
      <w:r w:rsidRPr="007D2438">
        <w:rPr>
          <w:b/>
          <w:iCs/>
          <w:color w:val="538135"/>
          <w:sz w:val="28"/>
        </w:rPr>
        <w:t>zione</w:t>
      </w:r>
    </w:p>
    <w:p w14:paraId="1B69E9C2" w14:textId="7731143A" w:rsidR="007D2438" w:rsidRPr="007D2438" w:rsidRDefault="00DC6263" w:rsidP="008B765D">
      <w:pPr>
        <w:pStyle w:val="Paragrafoelenco"/>
        <w:keepNext/>
        <w:keepLines/>
        <w:numPr>
          <w:ilvl w:val="0"/>
          <w:numId w:val="9"/>
        </w:numPr>
        <w:jc w:val="both"/>
        <w:rPr>
          <w:b/>
          <w:iCs/>
          <w:color w:val="538135"/>
          <w:sz w:val="28"/>
        </w:rPr>
      </w:pPr>
      <w:r w:rsidRPr="007D2438">
        <w:rPr>
          <w:b/>
          <w:iCs/>
          <w:color w:val="538135"/>
          <w:sz w:val="28"/>
        </w:rPr>
        <w:t xml:space="preserve">Capitalizzazione della Società pari a Euro </w:t>
      </w:r>
      <w:r w:rsidR="009E6238">
        <w:rPr>
          <w:b/>
          <w:iCs/>
          <w:color w:val="538135"/>
          <w:sz w:val="28"/>
        </w:rPr>
        <w:t>91,0 milioni</w:t>
      </w:r>
    </w:p>
    <w:p w14:paraId="493972E5" w14:textId="2B0C38D1" w:rsidR="00332723" w:rsidRDefault="00DC6263" w:rsidP="008B765D">
      <w:pPr>
        <w:pStyle w:val="Paragrafoelenco"/>
        <w:keepNext/>
        <w:keepLines/>
        <w:numPr>
          <w:ilvl w:val="0"/>
          <w:numId w:val="9"/>
        </w:numPr>
        <w:jc w:val="both"/>
        <w:rPr>
          <w:b/>
          <w:iCs/>
          <w:color w:val="538135"/>
          <w:sz w:val="28"/>
        </w:rPr>
      </w:pPr>
      <w:r w:rsidRPr="007D2438">
        <w:rPr>
          <w:b/>
          <w:iCs/>
          <w:color w:val="538135"/>
          <w:sz w:val="28"/>
        </w:rPr>
        <w:t>Inizio delle negoziazioni</w:t>
      </w:r>
      <w:r w:rsidR="008B0193">
        <w:rPr>
          <w:b/>
          <w:iCs/>
          <w:color w:val="538135"/>
          <w:sz w:val="28"/>
        </w:rPr>
        <w:t xml:space="preserve"> su Euronext Milan</w:t>
      </w:r>
      <w:r w:rsidR="00321459">
        <w:rPr>
          <w:b/>
          <w:iCs/>
          <w:color w:val="538135"/>
          <w:sz w:val="28"/>
        </w:rPr>
        <w:t>,</w:t>
      </w:r>
      <w:r w:rsidR="009E6238">
        <w:rPr>
          <w:b/>
          <w:iCs/>
          <w:color w:val="538135"/>
          <w:sz w:val="28"/>
        </w:rPr>
        <w:t xml:space="preserve"> </w:t>
      </w:r>
      <w:r w:rsidR="00321459">
        <w:rPr>
          <w:b/>
          <w:iCs/>
          <w:color w:val="538135"/>
          <w:sz w:val="28"/>
        </w:rPr>
        <w:t>Segmento Euronext STAR Milan</w:t>
      </w:r>
      <w:r w:rsidR="00794D46">
        <w:rPr>
          <w:b/>
          <w:iCs/>
          <w:color w:val="538135"/>
          <w:sz w:val="28"/>
        </w:rPr>
        <w:t>,</w:t>
      </w:r>
      <w:r w:rsidRPr="007D2438">
        <w:rPr>
          <w:b/>
          <w:iCs/>
          <w:color w:val="538135"/>
          <w:sz w:val="28"/>
        </w:rPr>
        <w:t xml:space="preserve"> previsto per </w:t>
      </w:r>
      <w:r w:rsidRPr="00BF7318">
        <w:rPr>
          <w:b/>
          <w:iCs/>
          <w:color w:val="538135"/>
          <w:sz w:val="28"/>
        </w:rPr>
        <w:t>mercoledì 29 giugno 2022</w:t>
      </w:r>
    </w:p>
    <w:p w14:paraId="3BF9969B" w14:textId="77777777" w:rsidR="00CD4272" w:rsidRPr="007D2438" w:rsidRDefault="00CD4272" w:rsidP="008B765D">
      <w:pPr>
        <w:pStyle w:val="Paragrafoelenco"/>
        <w:keepNext/>
        <w:keepLines/>
        <w:ind w:left="1287"/>
        <w:jc w:val="both"/>
        <w:rPr>
          <w:b/>
          <w:iCs/>
          <w:color w:val="538135"/>
          <w:sz w:val="28"/>
        </w:rPr>
      </w:pPr>
    </w:p>
    <w:p w14:paraId="711382DC" w14:textId="46A85716" w:rsidR="007D2438" w:rsidRDefault="00DC6263" w:rsidP="008B765D">
      <w:pPr>
        <w:keepNext/>
        <w:keepLines/>
        <w:spacing w:beforeLines="60" w:before="144" w:afterLines="120" w:after="288" w:line="276" w:lineRule="auto"/>
        <w:jc w:val="both"/>
      </w:pPr>
      <w:r w:rsidRPr="00EC07B5">
        <w:rPr>
          <w:b/>
        </w:rPr>
        <w:t xml:space="preserve">Milano, </w:t>
      </w:r>
      <w:r w:rsidR="003A6541">
        <w:rPr>
          <w:b/>
        </w:rPr>
        <w:t>24</w:t>
      </w:r>
      <w:r w:rsidR="00D93D8D">
        <w:rPr>
          <w:b/>
        </w:rPr>
        <w:t xml:space="preserve"> </w:t>
      </w:r>
      <w:r w:rsidR="00F76936">
        <w:rPr>
          <w:b/>
        </w:rPr>
        <w:t>giugno</w:t>
      </w:r>
      <w:r w:rsidR="00FA6484" w:rsidRPr="00EC07B5">
        <w:rPr>
          <w:b/>
        </w:rPr>
        <w:t xml:space="preserve"> 2022</w:t>
      </w:r>
      <w:r w:rsidRPr="00EC07B5">
        <w:t xml:space="preserve">. </w:t>
      </w:r>
      <w:proofErr w:type="spellStart"/>
      <w:r w:rsidRPr="00EC07B5">
        <w:t>Generalfinance</w:t>
      </w:r>
      <w:proofErr w:type="spellEnd"/>
      <w:r w:rsidRPr="00EC07B5">
        <w:t xml:space="preserve"> S.p.A. </w:t>
      </w:r>
      <w:r w:rsidR="002538C7" w:rsidRPr="00EC07B5">
        <w:t>(“</w:t>
      </w:r>
      <w:proofErr w:type="spellStart"/>
      <w:r w:rsidR="00722B95" w:rsidRPr="00EC07B5">
        <w:rPr>
          <w:b/>
        </w:rPr>
        <w:t>Generalfinance</w:t>
      </w:r>
      <w:proofErr w:type="spellEnd"/>
      <w:r w:rsidR="002538C7" w:rsidRPr="00EC07B5">
        <w:t xml:space="preserve">”, </w:t>
      </w:r>
      <w:r w:rsidR="00722B95" w:rsidRPr="00EC07B5">
        <w:t>la “</w:t>
      </w:r>
      <w:r w:rsidR="00722B95" w:rsidRPr="00EC07B5">
        <w:rPr>
          <w:b/>
        </w:rPr>
        <w:t>Società</w:t>
      </w:r>
      <w:r w:rsidR="00722B95" w:rsidRPr="00EC07B5">
        <w:t>”</w:t>
      </w:r>
      <w:r w:rsidR="00040EB3" w:rsidRPr="00EC07B5">
        <w:t xml:space="preserve"> o l’“</w:t>
      </w:r>
      <w:r w:rsidR="00040EB3" w:rsidRPr="00EC07B5">
        <w:rPr>
          <w:b/>
        </w:rPr>
        <w:t>Emittente</w:t>
      </w:r>
      <w:r w:rsidR="00040EB3" w:rsidRPr="00EC07B5">
        <w:t>”</w:t>
      </w:r>
      <w:r w:rsidR="00722B95" w:rsidRPr="00EC07B5">
        <w:t>)</w:t>
      </w:r>
      <w:r w:rsidRPr="00EC07B5">
        <w:t xml:space="preserve"> </w:t>
      </w:r>
      <w:r w:rsidR="00F76936" w:rsidRPr="009231F1">
        <w:t>comunica</w:t>
      </w:r>
      <w:r w:rsidR="00F76936">
        <w:t xml:space="preserve"> che</w:t>
      </w:r>
      <w:r w:rsidR="00F76936" w:rsidRPr="008449D2">
        <w:t xml:space="preserve"> </w:t>
      </w:r>
      <w:r w:rsidR="00F76936">
        <w:t xml:space="preserve">in data </w:t>
      </w:r>
      <w:r w:rsidR="003A6541">
        <w:t xml:space="preserve">23 giugno 2022 </w:t>
      </w:r>
      <w:r>
        <w:t>si è conclusa con successo l’offerta di sottoscrizione e di vendita delle azioni ordinarie della Società (le “</w:t>
      </w:r>
      <w:r w:rsidRPr="007D2438">
        <w:rPr>
          <w:b/>
          <w:bCs/>
        </w:rPr>
        <w:t>Azioni</w:t>
      </w:r>
      <w:r>
        <w:t xml:space="preserve">”) </w:t>
      </w:r>
      <w:r w:rsidR="00D13AA4">
        <w:t>finalizzata alla quotazione d</w:t>
      </w:r>
      <w:r w:rsidR="004B576C">
        <w:t xml:space="preserve">elle Azioni </w:t>
      </w:r>
      <w:r w:rsidR="00D13AA4">
        <w:t>su Euronext Milan</w:t>
      </w:r>
      <w:r w:rsidR="00AA1E21">
        <w:t>,</w:t>
      </w:r>
      <w:r w:rsidR="00D13AA4">
        <w:t xml:space="preserve"> </w:t>
      </w:r>
      <w:r w:rsidR="00AA1E21">
        <w:t xml:space="preserve">organizzato e gestito da Borsa Italiana S.p.A., Segmento Euronext STAR Milan </w:t>
      </w:r>
      <w:r w:rsidR="00D13AA4">
        <w:t>(</w:t>
      </w:r>
      <w:r w:rsidR="00AA1E21">
        <w:t>l’“</w:t>
      </w:r>
      <w:r w:rsidR="00AA1E21">
        <w:rPr>
          <w:b/>
          <w:bCs/>
        </w:rPr>
        <w:t>Offerta</w:t>
      </w:r>
      <w:r w:rsidR="00AA1E21">
        <w:t xml:space="preserve">” e </w:t>
      </w:r>
      <w:r w:rsidR="00D13AA4">
        <w:t>la "</w:t>
      </w:r>
      <w:r w:rsidR="00D13AA4" w:rsidRPr="00D13AA4">
        <w:rPr>
          <w:b/>
          <w:bCs/>
        </w:rPr>
        <w:t>Quotazione</w:t>
      </w:r>
      <w:r w:rsidR="00D13AA4">
        <w:t>”).</w:t>
      </w:r>
    </w:p>
    <w:p w14:paraId="149027DD" w14:textId="24A4F801" w:rsidR="000D78F5" w:rsidRDefault="00DC6263" w:rsidP="008B765D">
      <w:pPr>
        <w:keepNext/>
        <w:keepLines/>
        <w:spacing w:beforeLines="60" w:before="144" w:afterLines="120" w:after="288" w:line="276" w:lineRule="auto"/>
        <w:jc w:val="both"/>
      </w:pPr>
      <w:r>
        <w:t>Il prezzo di Offerta delle Azioni è stato fissato in Euro 7,2</w:t>
      </w:r>
      <w:r w:rsidR="00DB03A8">
        <w:t>0</w:t>
      </w:r>
      <w:r>
        <w:t xml:space="preserve"> per Azione (il “</w:t>
      </w:r>
      <w:r w:rsidRPr="00D13AA4">
        <w:rPr>
          <w:b/>
          <w:bCs/>
        </w:rPr>
        <w:t>Prezzo di Offerta</w:t>
      </w:r>
      <w:r>
        <w:t>”).</w:t>
      </w:r>
    </w:p>
    <w:p w14:paraId="72449CB7" w14:textId="5C41868B" w:rsidR="000D78F5" w:rsidRPr="00EB1DF2" w:rsidRDefault="00DC6263" w:rsidP="008B765D">
      <w:pPr>
        <w:keepNext/>
        <w:keepLines/>
        <w:spacing w:beforeLines="60" w:before="144" w:afterLines="120" w:after="288" w:line="276" w:lineRule="auto"/>
        <w:jc w:val="both"/>
      </w:pPr>
      <w:r>
        <w:t xml:space="preserve">L’Offerta comprende: </w:t>
      </w:r>
      <w:r w:rsidR="00E526BB">
        <w:rPr>
          <w:i/>
          <w:iCs/>
        </w:rPr>
        <w:t>(a</w:t>
      </w:r>
      <w:r w:rsidR="00E526BB" w:rsidRPr="004B0C4B">
        <w:rPr>
          <w:i/>
        </w:rPr>
        <w:t>)</w:t>
      </w:r>
      <w:r>
        <w:t xml:space="preserve"> n. 2.807.792 Azioni </w:t>
      </w:r>
      <w:r w:rsidR="002C2531">
        <w:t>di nuova emissione</w:t>
      </w:r>
      <w:r>
        <w:t xml:space="preserve"> derivanti dall’aumento di capitale (con esclusione del diritto di opzione</w:t>
      </w:r>
      <w:r w:rsidRPr="00655803">
        <w:t xml:space="preserve"> </w:t>
      </w:r>
      <w:r w:rsidRPr="002E77E4">
        <w:t>ai sensi dell</w:t>
      </w:r>
      <w:r>
        <w:t>’</w:t>
      </w:r>
      <w:r w:rsidRPr="002E77E4">
        <w:t>art. 2441, quinto comma, del codice civile</w:t>
      </w:r>
      <w:r>
        <w:t>) deliberato dalla Società a servizio della Quotazione</w:t>
      </w:r>
      <w:r w:rsidR="008B765D">
        <w:t xml:space="preserve"> (l’“</w:t>
      </w:r>
      <w:r w:rsidR="008B765D">
        <w:rPr>
          <w:b/>
          <w:bCs/>
        </w:rPr>
        <w:t>Aumento di Capitale</w:t>
      </w:r>
      <w:r w:rsidR="008B765D">
        <w:t>”)</w:t>
      </w:r>
      <w:r w:rsidR="00E526BB">
        <w:t>;</w:t>
      </w:r>
      <w:r>
        <w:t xml:space="preserve"> </w:t>
      </w:r>
      <w:r w:rsidR="002C2531">
        <w:t xml:space="preserve">e </w:t>
      </w:r>
      <w:r w:rsidR="00E526BB">
        <w:rPr>
          <w:i/>
          <w:iCs/>
        </w:rPr>
        <w:t>(b</w:t>
      </w:r>
      <w:r w:rsidR="00E526BB" w:rsidRPr="004B0C4B">
        <w:rPr>
          <w:i/>
        </w:rPr>
        <w:t>)</w:t>
      </w:r>
      <w:r>
        <w:t xml:space="preserve"> n. 2.597.133 Azioni derivanti dalla vendita da parte dell’azionista Crédit Agricole Italia S.p.A. (l’“</w:t>
      </w:r>
      <w:r w:rsidRPr="003D2DF6">
        <w:rPr>
          <w:b/>
          <w:bCs/>
        </w:rPr>
        <w:t>Azionista Venditore</w:t>
      </w:r>
      <w:r>
        <w:t>” o “</w:t>
      </w:r>
      <w:r w:rsidRPr="003D2DF6">
        <w:rPr>
          <w:b/>
          <w:bCs/>
        </w:rPr>
        <w:t>CAI</w:t>
      </w:r>
      <w:r>
        <w:t xml:space="preserve">”), inclusive delle n. 491.356 Azioni sottostanti all’opzione </w:t>
      </w:r>
      <w:r w:rsidRPr="003D2DF6">
        <w:rPr>
          <w:i/>
          <w:iCs/>
        </w:rPr>
        <w:t>over-allotment</w:t>
      </w:r>
      <w:r>
        <w:t xml:space="preserve"> (a servizio dell’eventuale esercizio dell’opzione </w:t>
      </w:r>
      <w:proofErr w:type="spellStart"/>
      <w:r w:rsidRPr="003D2DF6">
        <w:rPr>
          <w:i/>
          <w:iCs/>
        </w:rPr>
        <w:t>greenshoe</w:t>
      </w:r>
      <w:proofErr w:type="spellEnd"/>
      <w:r>
        <w:t>)</w:t>
      </w:r>
      <w:r>
        <w:rPr>
          <w:iCs/>
        </w:rPr>
        <w:t>.</w:t>
      </w:r>
    </w:p>
    <w:p w14:paraId="4D3D1E60" w14:textId="425020F9" w:rsidR="000D78F5" w:rsidRDefault="00DC6263" w:rsidP="008B765D">
      <w:pPr>
        <w:keepNext/>
        <w:keepLines/>
        <w:spacing w:beforeLines="60" w:before="144" w:afterLines="120" w:after="288" w:line="276" w:lineRule="auto"/>
        <w:jc w:val="both"/>
      </w:pPr>
      <w:r>
        <w:t>Sulla base del Prezzo di Offerta, il controvalore complessivo dell’operazione</w:t>
      </w:r>
      <w:r w:rsidR="002C2531">
        <w:t xml:space="preserve">, inclusa l’opzione </w:t>
      </w:r>
      <w:proofErr w:type="spellStart"/>
      <w:r w:rsidR="002C2531" w:rsidRPr="004B0C4B">
        <w:rPr>
          <w:i/>
        </w:rPr>
        <w:t>greenshoe</w:t>
      </w:r>
      <w:proofErr w:type="spellEnd"/>
      <w:r w:rsidR="002C2531">
        <w:t xml:space="preserve">, risulta pari a Euro 38,9 milioni, comprensivi </w:t>
      </w:r>
      <w:r w:rsidR="00DB03A8">
        <w:t xml:space="preserve">dell’Aumento </w:t>
      </w:r>
      <w:r w:rsidR="002C2531">
        <w:t xml:space="preserve">di </w:t>
      </w:r>
      <w:r w:rsidR="00DB03A8">
        <w:t xml:space="preserve">Capitale </w:t>
      </w:r>
      <w:r w:rsidR="002C2531">
        <w:t>pari a Euro 20,2 milioni.</w:t>
      </w:r>
    </w:p>
    <w:p w14:paraId="3CC3397E" w14:textId="03F49B5E" w:rsidR="002C2531" w:rsidRDefault="00DC6263" w:rsidP="008B765D">
      <w:pPr>
        <w:keepNext/>
        <w:keepLines/>
        <w:spacing w:beforeLines="60" w:before="144" w:afterLines="120" w:after="288" w:line="276" w:lineRule="auto"/>
        <w:jc w:val="both"/>
      </w:pPr>
      <w:r>
        <w:t xml:space="preserve">Sulla base del Prezzo di Offerta, la capitalizzazione della Società alla data di inizio delle negoziazioni sarà pari a Euro 91,0 milioni (comprensivi </w:t>
      </w:r>
      <w:r w:rsidR="00DB03A8">
        <w:t xml:space="preserve">dell’Aumento </w:t>
      </w:r>
      <w:r>
        <w:t xml:space="preserve">di </w:t>
      </w:r>
      <w:r w:rsidR="00DB03A8">
        <w:t xml:space="preserve">Capitale </w:t>
      </w:r>
      <w:r>
        <w:t>di Euro 20,2 milioni).</w:t>
      </w:r>
    </w:p>
    <w:p w14:paraId="08D2A853" w14:textId="263D1CED" w:rsidR="00D13AA4" w:rsidRDefault="00AA1E21" w:rsidP="008B765D">
      <w:pPr>
        <w:keepNext/>
        <w:keepLines/>
        <w:spacing w:beforeLines="60" w:before="144" w:afterLines="120" w:after="288" w:line="276" w:lineRule="auto"/>
        <w:jc w:val="both"/>
      </w:pPr>
      <w:r>
        <w:t xml:space="preserve">L’Offerta ha ricevuto </w:t>
      </w:r>
      <w:r w:rsidR="00635A81">
        <w:t xml:space="preserve">un </w:t>
      </w:r>
      <w:r>
        <w:t>forte interesse da parte di primari investitori istituzionali</w:t>
      </w:r>
      <w:r w:rsidR="00FF02A9">
        <w:t xml:space="preserve">, </w:t>
      </w:r>
      <w:r w:rsidR="002C2531">
        <w:t xml:space="preserve">con una domanda complessiva, al Prezzo di Offerta, di </w:t>
      </w:r>
      <w:r w:rsidR="00882D9A">
        <w:t xml:space="preserve">circa </w:t>
      </w:r>
      <w:r w:rsidR="002C2531">
        <w:t>65,8 milioni di Euro.</w:t>
      </w:r>
    </w:p>
    <w:p w14:paraId="71571730" w14:textId="14EC92A3" w:rsidR="00E526BB" w:rsidRDefault="00DC6263" w:rsidP="008B765D">
      <w:pPr>
        <w:keepNext/>
        <w:keepLines/>
        <w:spacing w:beforeLines="60" w:before="144" w:afterLines="120" w:after="288" w:line="276" w:lineRule="auto"/>
        <w:jc w:val="both"/>
      </w:pPr>
      <w:r>
        <w:t>T</w:t>
      </w:r>
      <w:r w:rsidR="003D2DF6">
        <w:t xml:space="preserve">enuto conto del </w:t>
      </w:r>
      <w:r w:rsidR="000F2B06">
        <w:t xml:space="preserve">previsto </w:t>
      </w:r>
      <w:r w:rsidR="003D2DF6">
        <w:t xml:space="preserve">grado di diffusione dell’azionariato di </w:t>
      </w:r>
      <w:proofErr w:type="spellStart"/>
      <w:r w:rsidR="003D2DF6">
        <w:t>Generalfinance</w:t>
      </w:r>
      <w:proofErr w:type="spellEnd"/>
      <w:r w:rsidR="003D2DF6">
        <w:t xml:space="preserve">, </w:t>
      </w:r>
      <w:r w:rsidR="00650172">
        <w:t xml:space="preserve">a esito dell’Offerta il flottante </w:t>
      </w:r>
      <w:r w:rsidR="003D2DF6">
        <w:t xml:space="preserve">sarà adeguato rispetto </w:t>
      </w:r>
      <w:r w:rsidR="003D2DF6" w:rsidRPr="00650172">
        <w:t xml:space="preserve">al requisito richiesto da Borsa Italiana per </w:t>
      </w:r>
      <w:r w:rsidR="000F2B06">
        <w:t xml:space="preserve">la quotazione delle Azioni su </w:t>
      </w:r>
      <w:r w:rsidR="003D2DF6" w:rsidRPr="00650172">
        <w:t>Euronext Milan</w:t>
      </w:r>
      <w:r w:rsidRPr="00650172">
        <w:t>,</w:t>
      </w:r>
      <w:r w:rsidR="003D2DF6" w:rsidRPr="00650172">
        <w:t xml:space="preserve"> Segmento Euronext STAR Milan</w:t>
      </w:r>
      <w:r w:rsidR="00DB03A8" w:rsidRPr="00DB03A8">
        <w:t>.</w:t>
      </w:r>
      <w:r w:rsidR="00045339" w:rsidRPr="00DB03A8">
        <w:t xml:space="preserve"> </w:t>
      </w:r>
    </w:p>
    <w:p w14:paraId="5ACB97DB" w14:textId="20CF4B2E" w:rsidR="00655803" w:rsidRDefault="00DB03A8" w:rsidP="008B765D">
      <w:pPr>
        <w:keepNext/>
        <w:keepLines/>
        <w:spacing w:beforeLines="60" w:before="144" w:afterLines="120" w:after="288" w:line="276" w:lineRule="auto"/>
        <w:jc w:val="both"/>
      </w:pPr>
      <w:r>
        <w:lastRenderedPageBreak/>
        <w:t xml:space="preserve">La </w:t>
      </w:r>
      <w:r w:rsidR="00045339" w:rsidRPr="00045339">
        <w:t>tabella che segue evidenz</w:t>
      </w:r>
      <w:r w:rsidR="00471497">
        <w:t>i</w:t>
      </w:r>
      <w:r w:rsidR="00045339" w:rsidRPr="00045339">
        <w:t xml:space="preserve">a la struttura azionaria </w:t>
      </w:r>
      <w:r w:rsidR="004E5FB1">
        <w:t xml:space="preserve">di </w:t>
      </w:r>
      <w:proofErr w:type="spellStart"/>
      <w:r w:rsidR="004E5FB1">
        <w:t>Generalfinance</w:t>
      </w:r>
      <w:proofErr w:type="spellEnd"/>
      <w:r w:rsidR="00045339" w:rsidRPr="00045339">
        <w:t xml:space="preserve"> prima e dopo </w:t>
      </w:r>
      <w:r w:rsidR="00045339">
        <w:t>l’Offerta</w:t>
      </w:r>
      <w:r>
        <w:t xml:space="preserve"> (incluso nel caso di </w:t>
      </w:r>
      <w:r w:rsidR="00F708FD">
        <w:t>integrale esercizio dell</w:t>
      </w:r>
      <w:r w:rsidR="00AF5D53">
        <w:t>’</w:t>
      </w:r>
      <w:r w:rsidR="00F708FD" w:rsidRPr="00AF5D53">
        <w:rPr>
          <w:i/>
          <w:iCs/>
        </w:rPr>
        <w:t xml:space="preserve">opzione </w:t>
      </w:r>
      <w:proofErr w:type="spellStart"/>
      <w:r>
        <w:rPr>
          <w:i/>
          <w:iCs/>
        </w:rPr>
        <w:t>g</w:t>
      </w:r>
      <w:r w:rsidR="00F708FD" w:rsidRPr="00AF5D53">
        <w:rPr>
          <w:i/>
          <w:iCs/>
        </w:rPr>
        <w:t>reenshoe</w:t>
      </w:r>
      <w:proofErr w:type="spellEnd"/>
      <w:r>
        <w:t>)</w:t>
      </w:r>
      <w:r w:rsidR="00AF5D53">
        <w:t xml:space="preserve">, tenuto conto altresì della quantità di Azioni indicate da </w:t>
      </w:r>
      <w:r w:rsidR="00AF5D53" w:rsidRPr="00AF5D53">
        <w:t>First4Progress S.p.A.</w:t>
      </w:r>
      <w:r w:rsidR="00AF5D53">
        <w:t xml:space="preserve"> (“</w:t>
      </w:r>
      <w:r w:rsidR="00AF5D53">
        <w:rPr>
          <w:b/>
          <w:bCs/>
        </w:rPr>
        <w:t>F4P</w:t>
      </w:r>
      <w:r w:rsidR="00AF5D53">
        <w:t xml:space="preserve">”) nell’ordine definitivo pervenuto da F4P durante il Periodo d’Offerta, che la Società si è impegnata ad allocare interamente, e del meccanismo di rimborso in natura </w:t>
      </w:r>
      <w:r>
        <w:t>(</w:t>
      </w:r>
      <w:r w:rsidR="00AF5D53">
        <w:t>tramite Azioni</w:t>
      </w:r>
      <w:r>
        <w:t>)</w:t>
      </w:r>
      <w:r w:rsidR="00AF5D53">
        <w:t xml:space="preserve"> agli obbligazionisti del </w:t>
      </w:r>
      <w:r w:rsidR="00AF5D53" w:rsidRPr="00AF5D53">
        <w:t>prestito obbligazionario convertibile “First4Progress CV 2021-2026</w:t>
      </w:r>
      <w:r w:rsidR="00AF5D53">
        <w:t>”.</w:t>
      </w:r>
    </w:p>
    <w:tbl>
      <w:tblPr>
        <w:tblStyle w:val="Grigliatabella"/>
        <w:tblW w:w="5000" w:type="pct"/>
        <w:tblLayout w:type="fixed"/>
        <w:tblCellMar>
          <w:left w:w="28" w:type="dxa"/>
          <w:right w:w="28" w:type="dxa"/>
        </w:tblCellMar>
        <w:tblLook w:val="04A0" w:firstRow="1" w:lastRow="0" w:firstColumn="1" w:lastColumn="0" w:noHBand="0" w:noVBand="1"/>
      </w:tblPr>
      <w:tblGrid>
        <w:gridCol w:w="704"/>
        <w:gridCol w:w="564"/>
        <w:gridCol w:w="566"/>
        <w:gridCol w:w="568"/>
        <w:gridCol w:w="711"/>
        <w:gridCol w:w="992"/>
        <w:gridCol w:w="711"/>
        <w:gridCol w:w="711"/>
        <w:gridCol w:w="847"/>
        <w:gridCol w:w="809"/>
        <w:gridCol w:w="945"/>
        <w:gridCol w:w="655"/>
        <w:gridCol w:w="845"/>
      </w:tblGrid>
      <w:tr w:rsidR="00DB03A8" w:rsidRPr="00AF5D53" w14:paraId="2DB78ACB" w14:textId="77777777" w:rsidTr="008B765D">
        <w:trPr>
          <w:trHeight w:val="60"/>
        </w:trPr>
        <w:tc>
          <w:tcPr>
            <w:tcW w:w="366" w:type="pct"/>
            <w:vMerge w:val="restart"/>
            <w:shd w:val="clear" w:color="auto" w:fill="E2EFD9"/>
          </w:tcPr>
          <w:p w14:paraId="4F8D97B5" w14:textId="77777777" w:rsidR="002079F6" w:rsidRPr="004B0C4B" w:rsidRDefault="002079F6" w:rsidP="004B0C4B">
            <w:pPr>
              <w:keepNext/>
              <w:keepLines/>
              <w:tabs>
                <w:tab w:val="clear" w:pos="360"/>
              </w:tabs>
              <w:spacing w:line="276" w:lineRule="auto"/>
              <w:rPr>
                <w:rFonts w:asciiTheme="minorHAnsi" w:hAnsiTheme="minorHAnsi"/>
                <w:b/>
                <w:color w:val="008000"/>
                <w:sz w:val="14"/>
              </w:rPr>
            </w:pPr>
          </w:p>
          <w:p w14:paraId="0601CADB" w14:textId="77777777" w:rsidR="002079F6" w:rsidRPr="004B0C4B" w:rsidRDefault="00DC6263" w:rsidP="004B0C4B">
            <w:pPr>
              <w:keepNext/>
              <w:keepLines/>
              <w:tabs>
                <w:tab w:val="clear" w:pos="360"/>
              </w:tabs>
              <w:spacing w:line="276" w:lineRule="auto"/>
              <w:rPr>
                <w:rFonts w:asciiTheme="minorHAnsi" w:hAnsiTheme="minorHAnsi"/>
                <w:b/>
                <w:color w:val="008000"/>
                <w:sz w:val="14"/>
              </w:rPr>
            </w:pPr>
            <w:r w:rsidRPr="004B0C4B">
              <w:rPr>
                <w:rFonts w:asciiTheme="minorHAnsi" w:hAnsiTheme="minorHAnsi"/>
                <w:b/>
                <w:color w:val="008000"/>
                <w:sz w:val="14"/>
              </w:rPr>
              <w:t>Azionista</w:t>
            </w:r>
          </w:p>
        </w:tc>
        <w:tc>
          <w:tcPr>
            <w:tcW w:w="882" w:type="pct"/>
            <w:gridSpan w:val="3"/>
            <w:shd w:val="clear" w:color="auto" w:fill="E2EFD9"/>
          </w:tcPr>
          <w:p w14:paraId="0DCFEDB5" w14:textId="4B83E054" w:rsidR="002079F6" w:rsidRPr="004B0C4B" w:rsidRDefault="008B765D" w:rsidP="004B0C4B">
            <w:pPr>
              <w:keepNext/>
              <w:keepLines/>
              <w:tabs>
                <w:tab w:val="clear" w:pos="360"/>
              </w:tabs>
              <w:spacing w:line="276" w:lineRule="auto"/>
              <w:rPr>
                <w:rFonts w:asciiTheme="minorHAnsi" w:hAnsiTheme="minorHAnsi"/>
                <w:b/>
                <w:color w:val="008000"/>
                <w:sz w:val="14"/>
              </w:rPr>
            </w:pPr>
            <w:r>
              <w:rPr>
                <w:rFonts w:asciiTheme="minorHAnsi" w:hAnsiTheme="minorHAnsi" w:cstheme="minorHAnsi"/>
                <w:b/>
                <w:bCs/>
                <w:color w:val="008000"/>
                <w:sz w:val="14"/>
                <w:szCs w:val="14"/>
              </w:rPr>
              <w:t>15/06/2022 (d</w:t>
            </w:r>
            <w:r w:rsidRPr="00AF5D53">
              <w:rPr>
                <w:rFonts w:asciiTheme="minorHAnsi" w:hAnsiTheme="minorHAnsi" w:cstheme="minorHAnsi"/>
                <w:b/>
                <w:bCs/>
                <w:color w:val="008000"/>
                <w:sz w:val="14"/>
                <w:szCs w:val="14"/>
              </w:rPr>
              <w:t xml:space="preserve">ata </w:t>
            </w:r>
            <w:r>
              <w:rPr>
                <w:rFonts w:asciiTheme="minorHAnsi" w:hAnsiTheme="minorHAnsi" w:cstheme="minorHAnsi"/>
                <w:b/>
                <w:bCs/>
                <w:color w:val="008000"/>
                <w:sz w:val="14"/>
                <w:szCs w:val="14"/>
              </w:rPr>
              <w:t>di approvazione del prospetto di Quotazione)</w:t>
            </w:r>
          </w:p>
        </w:tc>
        <w:tc>
          <w:tcPr>
            <w:tcW w:w="884" w:type="pct"/>
            <w:gridSpan w:val="2"/>
            <w:shd w:val="clear" w:color="auto" w:fill="E2EFD9"/>
          </w:tcPr>
          <w:p w14:paraId="7CDEEA6E" w14:textId="77777777" w:rsidR="002079F6" w:rsidRPr="004B0C4B" w:rsidRDefault="00DC6263" w:rsidP="004B0C4B">
            <w:pPr>
              <w:keepNext/>
              <w:keepLines/>
              <w:tabs>
                <w:tab w:val="clear" w:pos="360"/>
              </w:tabs>
              <w:spacing w:line="276" w:lineRule="auto"/>
              <w:rPr>
                <w:rFonts w:asciiTheme="minorHAnsi" w:hAnsiTheme="minorHAnsi"/>
                <w:b/>
                <w:color w:val="008000"/>
                <w:sz w:val="14"/>
              </w:rPr>
            </w:pPr>
            <w:r w:rsidRPr="004B0C4B">
              <w:rPr>
                <w:rFonts w:asciiTheme="minorHAnsi" w:hAnsiTheme="minorHAnsi"/>
                <w:b/>
                <w:color w:val="008000"/>
                <w:sz w:val="14"/>
              </w:rPr>
              <w:t>Offerta (N. Azioni)</w:t>
            </w:r>
          </w:p>
        </w:tc>
        <w:tc>
          <w:tcPr>
            <w:tcW w:w="1178" w:type="pct"/>
            <w:gridSpan w:val="3"/>
            <w:shd w:val="clear" w:color="auto" w:fill="E2EFD9"/>
          </w:tcPr>
          <w:p w14:paraId="0ED46836" w14:textId="1D41CE56" w:rsidR="002079F6" w:rsidRPr="004B0C4B" w:rsidRDefault="00DC6263" w:rsidP="004B0C4B">
            <w:pPr>
              <w:keepNext/>
              <w:keepLines/>
              <w:tabs>
                <w:tab w:val="clear" w:pos="360"/>
              </w:tabs>
              <w:spacing w:line="276" w:lineRule="auto"/>
              <w:rPr>
                <w:rFonts w:asciiTheme="minorHAnsi" w:hAnsiTheme="minorHAnsi"/>
                <w:b/>
                <w:color w:val="008000"/>
                <w:sz w:val="14"/>
              </w:rPr>
            </w:pPr>
            <w:r w:rsidRPr="004B0C4B">
              <w:rPr>
                <w:rFonts w:asciiTheme="minorHAnsi" w:hAnsiTheme="minorHAnsi"/>
                <w:b/>
                <w:color w:val="008000"/>
                <w:sz w:val="14"/>
              </w:rPr>
              <w:t xml:space="preserve">Post Offerta (ante esercizio </w:t>
            </w:r>
            <w:r w:rsidR="008B765D" w:rsidRPr="00AF5D53">
              <w:rPr>
                <w:rFonts w:asciiTheme="minorHAnsi" w:hAnsiTheme="minorHAnsi" w:cstheme="minorHAnsi"/>
                <w:b/>
                <w:bCs/>
                <w:color w:val="008000"/>
                <w:sz w:val="14"/>
                <w:szCs w:val="14"/>
              </w:rPr>
              <w:t xml:space="preserve">dell’opzione </w:t>
            </w:r>
            <w:proofErr w:type="spellStart"/>
            <w:r w:rsidR="008B765D" w:rsidRPr="008B765D">
              <w:rPr>
                <w:rFonts w:asciiTheme="minorHAnsi" w:hAnsiTheme="minorHAnsi" w:cstheme="minorHAnsi"/>
                <w:b/>
                <w:bCs/>
                <w:i/>
                <w:iCs/>
                <w:color w:val="008000"/>
                <w:sz w:val="14"/>
                <w:szCs w:val="14"/>
              </w:rPr>
              <w:t>greenshoe</w:t>
            </w:r>
            <w:proofErr w:type="spellEnd"/>
            <w:r w:rsidRPr="004B0C4B">
              <w:rPr>
                <w:rFonts w:asciiTheme="minorHAnsi" w:hAnsiTheme="minorHAnsi"/>
                <w:b/>
                <w:color w:val="008000"/>
                <w:sz w:val="14"/>
              </w:rPr>
              <w:t>)</w:t>
            </w:r>
          </w:p>
        </w:tc>
        <w:tc>
          <w:tcPr>
            <w:tcW w:w="420" w:type="pct"/>
            <w:shd w:val="clear" w:color="auto" w:fill="E2EFD9"/>
          </w:tcPr>
          <w:p w14:paraId="05AEA8FA" w14:textId="0095683A" w:rsidR="002079F6" w:rsidRPr="004B0C4B" w:rsidRDefault="00DC6263" w:rsidP="004B0C4B">
            <w:pPr>
              <w:keepNext/>
              <w:keepLines/>
              <w:tabs>
                <w:tab w:val="clear" w:pos="360"/>
              </w:tabs>
              <w:spacing w:line="276" w:lineRule="auto"/>
              <w:rPr>
                <w:rFonts w:asciiTheme="minorHAnsi" w:hAnsiTheme="minorHAnsi"/>
                <w:b/>
                <w:color w:val="008000"/>
                <w:sz w:val="14"/>
              </w:rPr>
            </w:pPr>
            <w:r w:rsidRPr="004B0C4B">
              <w:rPr>
                <w:rFonts w:asciiTheme="minorHAnsi" w:hAnsiTheme="minorHAnsi"/>
                <w:b/>
                <w:color w:val="008000"/>
                <w:sz w:val="14"/>
              </w:rPr>
              <w:t xml:space="preserve">Opzione </w:t>
            </w:r>
            <w:proofErr w:type="spellStart"/>
            <w:r w:rsidR="008B765D">
              <w:rPr>
                <w:rFonts w:asciiTheme="minorHAnsi" w:hAnsiTheme="minorHAnsi" w:cstheme="minorHAnsi"/>
                <w:b/>
                <w:bCs/>
                <w:i/>
                <w:iCs/>
                <w:color w:val="008000"/>
                <w:sz w:val="14"/>
                <w:szCs w:val="14"/>
              </w:rPr>
              <w:t>g</w:t>
            </w:r>
            <w:r w:rsidR="008B765D" w:rsidRPr="008B765D">
              <w:rPr>
                <w:rFonts w:asciiTheme="minorHAnsi" w:hAnsiTheme="minorHAnsi" w:cstheme="minorHAnsi"/>
                <w:b/>
                <w:bCs/>
                <w:i/>
                <w:iCs/>
                <w:color w:val="008000"/>
                <w:sz w:val="14"/>
                <w:szCs w:val="14"/>
              </w:rPr>
              <w:t>reenshoe</w:t>
            </w:r>
            <w:proofErr w:type="spellEnd"/>
          </w:p>
        </w:tc>
        <w:tc>
          <w:tcPr>
            <w:tcW w:w="1270" w:type="pct"/>
            <w:gridSpan w:val="3"/>
            <w:shd w:val="clear" w:color="auto" w:fill="E2EFD9"/>
          </w:tcPr>
          <w:p w14:paraId="18952BA1" w14:textId="7ECC2846" w:rsidR="002079F6" w:rsidRPr="004B0C4B" w:rsidRDefault="00DC6263" w:rsidP="004B0C4B">
            <w:pPr>
              <w:keepNext/>
              <w:keepLines/>
              <w:tabs>
                <w:tab w:val="clear" w:pos="360"/>
              </w:tabs>
              <w:spacing w:line="276" w:lineRule="auto"/>
              <w:rPr>
                <w:rFonts w:asciiTheme="minorHAnsi" w:hAnsiTheme="minorHAnsi"/>
                <w:b/>
                <w:color w:val="008000"/>
                <w:sz w:val="14"/>
              </w:rPr>
            </w:pPr>
            <w:r w:rsidRPr="004B0C4B">
              <w:rPr>
                <w:rFonts w:asciiTheme="minorHAnsi" w:hAnsiTheme="minorHAnsi"/>
                <w:b/>
                <w:color w:val="008000"/>
                <w:sz w:val="14"/>
              </w:rPr>
              <w:t xml:space="preserve">Post Offerta ed esercizio </w:t>
            </w:r>
            <w:r w:rsidR="008B765D" w:rsidRPr="00AF5D53">
              <w:rPr>
                <w:rFonts w:asciiTheme="minorHAnsi" w:hAnsiTheme="minorHAnsi" w:cstheme="minorHAnsi"/>
                <w:b/>
                <w:bCs/>
                <w:color w:val="008000"/>
                <w:sz w:val="14"/>
                <w:szCs w:val="14"/>
              </w:rPr>
              <w:t>dell’</w:t>
            </w:r>
            <w:r w:rsidR="008B765D">
              <w:rPr>
                <w:rFonts w:asciiTheme="minorHAnsi" w:hAnsiTheme="minorHAnsi" w:cstheme="minorHAnsi"/>
                <w:b/>
                <w:bCs/>
                <w:color w:val="008000"/>
                <w:sz w:val="14"/>
                <w:szCs w:val="14"/>
              </w:rPr>
              <w:t>o</w:t>
            </w:r>
            <w:r w:rsidR="008B765D" w:rsidRPr="00AF5D53">
              <w:rPr>
                <w:rFonts w:asciiTheme="minorHAnsi" w:hAnsiTheme="minorHAnsi" w:cstheme="minorHAnsi"/>
                <w:b/>
                <w:bCs/>
                <w:color w:val="008000"/>
                <w:sz w:val="14"/>
                <w:szCs w:val="14"/>
              </w:rPr>
              <w:t xml:space="preserve">pzione </w:t>
            </w:r>
            <w:proofErr w:type="spellStart"/>
            <w:r w:rsidR="008B765D" w:rsidRPr="008B765D">
              <w:rPr>
                <w:rFonts w:asciiTheme="minorHAnsi" w:hAnsiTheme="minorHAnsi" w:cstheme="minorHAnsi"/>
                <w:b/>
                <w:bCs/>
                <w:i/>
                <w:iCs/>
                <w:color w:val="008000"/>
                <w:sz w:val="14"/>
                <w:szCs w:val="14"/>
              </w:rPr>
              <w:t>greenshoe</w:t>
            </w:r>
            <w:proofErr w:type="spellEnd"/>
          </w:p>
        </w:tc>
      </w:tr>
      <w:tr w:rsidR="00963CBF" w:rsidRPr="00AF5D53" w14:paraId="5E11F54E" w14:textId="77777777" w:rsidTr="00C87B41">
        <w:trPr>
          <w:trHeight w:val="60"/>
        </w:trPr>
        <w:tc>
          <w:tcPr>
            <w:tcW w:w="366" w:type="pct"/>
            <w:vMerge/>
            <w:shd w:val="clear" w:color="auto" w:fill="E2EFD9"/>
          </w:tcPr>
          <w:p w14:paraId="75545646" w14:textId="77777777" w:rsidR="002079F6" w:rsidRPr="004B0C4B" w:rsidRDefault="002079F6" w:rsidP="004B0C4B">
            <w:pPr>
              <w:keepNext/>
              <w:keepLines/>
              <w:tabs>
                <w:tab w:val="clear" w:pos="360"/>
              </w:tabs>
              <w:spacing w:line="276" w:lineRule="auto"/>
              <w:rPr>
                <w:rFonts w:asciiTheme="minorHAnsi" w:hAnsiTheme="minorHAnsi"/>
                <w:b/>
                <w:color w:val="008000"/>
                <w:sz w:val="14"/>
              </w:rPr>
            </w:pPr>
          </w:p>
        </w:tc>
        <w:tc>
          <w:tcPr>
            <w:tcW w:w="293" w:type="pct"/>
            <w:shd w:val="clear" w:color="auto" w:fill="E2EFD9"/>
          </w:tcPr>
          <w:p w14:paraId="3F7EB50A" w14:textId="77777777" w:rsidR="002079F6" w:rsidRPr="004B0C4B" w:rsidRDefault="00DC6263" w:rsidP="004B0C4B">
            <w:pPr>
              <w:keepNext/>
              <w:keepLines/>
              <w:tabs>
                <w:tab w:val="clear" w:pos="360"/>
              </w:tabs>
              <w:spacing w:line="276" w:lineRule="auto"/>
              <w:rPr>
                <w:rFonts w:asciiTheme="minorHAnsi" w:hAnsiTheme="minorHAnsi"/>
                <w:b/>
                <w:color w:val="008000"/>
                <w:sz w:val="14"/>
              </w:rPr>
            </w:pPr>
            <w:r w:rsidRPr="004B0C4B">
              <w:rPr>
                <w:rFonts w:asciiTheme="minorHAnsi" w:hAnsiTheme="minorHAnsi"/>
                <w:b/>
                <w:color w:val="008000"/>
                <w:sz w:val="14"/>
              </w:rPr>
              <w:t>N. Azioni</w:t>
            </w:r>
          </w:p>
        </w:tc>
        <w:tc>
          <w:tcPr>
            <w:tcW w:w="294" w:type="pct"/>
            <w:shd w:val="clear" w:color="auto" w:fill="E2EFD9"/>
          </w:tcPr>
          <w:p w14:paraId="7AF412FA" w14:textId="77777777" w:rsidR="002079F6" w:rsidRPr="004B0C4B" w:rsidRDefault="00DC6263" w:rsidP="004B0C4B">
            <w:pPr>
              <w:keepNext/>
              <w:keepLines/>
              <w:tabs>
                <w:tab w:val="clear" w:pos="360"/>
              </w:tabs>
              <w:spacing w:line="276" w:lineRule="auto"/>
              <w:rPr>
                <w:rFonts w:asciiTheme="minorHAnsi" w:hAnsiTheme="minorHAnsi"/>
                <w:b/>
                <w:color w:val="008000"/>
                <w:sz w:val="14"/>
              </w:rPr>
            </w:pPr>
            <w:r w:rsidRPr="004B0C4B">
              <w:rPr>
                <w:rFonts w:asciiTheme="minorHAnsi" w:hAnsiTheme="minorHAnsi"/>
                <w:b/>
                <w:color w:val="008000"/>
                <w:sz w:val="14"/>
              </w:rPr>
              <w:t>% del capitale sociale</w:t>
            </w:r>
          </w:p>
        </w:tc>
        <w:tc>
          <w:tcPr>
            <w:tcW w:w="295" w:type="pct"/>
            <w:shd w:val="clear" w:color="auto" w:fill="E2EFD9"/>
          </w:tcPr>
          <w:p w14:paraId="0088F291" w14:textId="77777777" w:rsidR="002079F6" w:rsidRPr="004B0C4B" w:rsidRDefault="00DC6263" w:rsidP="004B0C4B">
            <w:pPr>
              <w:keepNext/>
              <w:keepLines/>
              <w:tabs>
                <w:tab w:val="clear" w:pos="360"/>
              </w:tabs>
              <w:spacing w:line="276" w:lineRule="auto"/>
              <w:rPr>
                <w:rFonts w:asciiTheme="minorHAnsi" w:hAnsiTheme="minorHAnsi"/>
                <w:b/>
                <w:color w:val="008000"/>
                <w:sz w:val="14"/>
              </w:rPr>
            </w:pPr>
            <w:r w:rsidRPr="004B0C4B">
              <w:rPr>
                <w:rFonts w:asciiTheme="minorHAnsi" w:hAnsiTheme="minorHAnsi"/>
                <w:b/>
                <w:color w:val="008000"/>
                <w:sz w:val="14"/>
              </w:rPr>
              <w:t>% dei diritti di voto</w:t>
            </w:r>
          </w:p>
        </w:tc>
        <w:tc>
          <w:tcPr>
            <w:tcW w:w="369" w:type="pct"/>
            <w:shd w:val="clear" w:color="auto" w:fill="E2EFD9"/>
          </w:tcPr>
          <w:p w14:paraId="20CE4DF7" w14:textId="77777777" w:rsidR="002079F6" w:rsidRPr="004B0C4B" w:rsidRDefault="00DC6263" w:rsidP="004B0C4B">
            <w:pPr>
              <w:keepNext/>
              <w:keepLines/>
              <w:tabs>
                <w:tab w:val="clear" w:pos="360"/>
              </w:tabs>
              <w:spacing w:line="276" w:lineRule="auto"/>
              <w:rPr>
                <w:rFonts w:asciiTheme="minorHAnsi" w:hAnsiTheme="minorHAnsi"/>
                <w:b/>
                <w:color w:val="008000"/>
                <w:sz w:val="14"/>
              </w:rPr>
            </w:pPr>
            <w:r w:rsidRPr="004B0C4B">
              <w:rPr>
                <w:rFonts w:asciiTheme="minorHAnsi" w:hAnsiTheme="minorHAnsi"/>
                <w:b/>
                <w:color w:val="008000"/>
                <w:sz w:val="14"/>
              </w:rPr>
              <w:t>in vendita</w:t>
            </w:r>
          </w:p>
        </w:tc>
        <w:tc>
          <w:tcPr>
            <w:tcW w:w="515" w:type="pct"/>
            <w:shd w:val="clear" w:color="auto" w:fill="E2EFD9"/>
          </w:tcPr>
          <w:p w14:paraId="2591B36E" w14:textId="77777777" w:rsidR="002079F6" w:rsidRPr="004B0C4B" w:rsidRDefault="00DC6263" w:rsidP="004B0C4B">
            <w:pPr>
              <w:keepNext/>
              <w:keepLines/>
              <w:tabs>
                <w:tab w:val="clear" w:pos="360"/>
              </w:tabs>
              <w:spacing w:line="276" w:lineRule="auto"/>
              <w:rPr>
                <w:rFonts w:asciiTheme="minorHAnsi" w:hAnsiTheme="minorHAnsi"/>
                <w:b/>
                <w:color w:val="008000"/>
                <w:sz w:val="14"/>
              </w:rPr>
            </w:pPr>
            <w:r w:rsidRPr="004B0C4B">
              <w:rPr>
                <w:rFonts w:asciiTheme="minorHAnsi" w:hAnsiTheme="minorHAnsi"/>
                <w:b/>
                <w:color w:val="008000"/>
                <w:sz w:val="14"/>
              </w:rPr>
              <w:t>rivenienti dell’Aumento di Capitale</w:t>
            </w:r>
          </w:p>
        </w:tc>
        <w:tc>
          <w:tcPr>
            <w:tcW w:w="369" w:type="pct"/>
            <w:shd w:val="clear" w:color="auto" w:fill="E2EFD9"/>
          </w:tcPr>
          <w:p w14:paraId="619D58DD" w14:textId="42FF6FEF" w:rsidR="002079F6" w:rsidRPr="004B0C4B" w:rsidRDefault="008B765D" w:rsidP="004B0C4B">
            <w:pPr>
              <w:keepNext/>
              <w:keepLines/>
              <w:tabs>
                <w:tab w:val="clear" w:pos="360"/>
              </w:tabs>
              <w:spacing w:line="276" w:lineRule="auto"/>
              <w:rPr>
                <w:rFonts w:asciiTheme="minorHAnsi" w:hAnsiTheme="minorHAnsi"/>
                <w:b/>
                <w:color w:val="008000"/>
                <w:sz w:val="14"/>
              </w:rPr>
            </w:pPr>
            <w:r w:rsidRPr="00AF5D53">
              <w:rPr>
                <w:rFonts w:asciiTheme="minorHAnsi" w:hAnsiTheme="minorHAnsi" w:cstheme="minorHAnsi"/>
                <w:b/>
                <w:bCs/>
                <w:color w:val="008000"/>
                <w:sz w:val="14"/>
                <w:szCs w:val="14"/>
              </w:rPr>
              <w:t>N. Azioni</w:t>
            </w:r>
          </w:p>
        </w:tc>
        <w:tc>
          <w:tcPr>
            <w:tcW w:w="369" w:type="pct"/>
            <w:shd w:val="clear" w:color="auto" w:fill="E2EFD9"/>
          </w:tcPr>
          <w:p w14:paraId="6C670CEF" w14:textId="77777777" w:rsidR="002079F6" w:rsidRPr="004B0C4B" w:rsidRDefault="00DC6263" w:rsidP="004B0C4B">
            <w:pPr>
              <w:keepNext/>
              <w:keepLines/>
              <w:tabs>
                <w:tab w:val="clear" w:pos="360"/>
              </w:tabs>
              <w:spacing w:line="276" w:lineRule="auto"/>
              <w:rPr>
                <w:rFonts w:asciiTheme="minorHAnsi" w:hAnsiTheme="minorHAnsi"/>
                <w:b/>
                <w:color w:val="008000"/>
                <w:sz w:val="14"/>
              </w:rPr>
            </w:pPr>
            <w:r w:rsidRPr="004B0C4B">
              <w:rPr>
                <w:rFonts w:asciiTheme="minorHAnsi" w:hAnsiTheme="minorHAnsi"/>
                <w:b/>
                <w:color w:val="008000"/>
                <w:sz w:val="14"/>
              </w:rPr>
              <w:t>% del capitale sociale</w:t>
            </w:r>
          </w:p>
        </w:tc>
        <w:tc>
          <w:tcPr>
            <w:tcW w:w="440" w:type="pct"/>
            <w:shd w:val="clear" w:color="auto" w:fill="E2EFD9"/>
          </w:tcPr>
          <w:p w14:paraId="48680B89" w14:textId="77777777" w:rsidR="002079F6" w:rsidRPr="004B0C4B" w:rsidRDefault="00DC6263" w:rsidP="004B0C4B">
            <w:pPr>
              <w:keepNext/>
              <w:keepLines/>
              <w:tabs>
                <w:tab w:val="clear" w:pos="360"/>
              </w:tabs>
              <w:spacing w:line="276" w:lineRule="auto"/>
              <w:rPr>
                <w:rFonts w:asciiTheme="minorHAnsi" w:hAnsiTheme="minorHAnsi"/>
                <w:b/>
                <w:color w:val="008000"/>
                <w:sz w:val="14"/>
              </w:rPr>
            </w:pPr>
            <w:r w:rsidRPr="004B0C4B">
              <w:rPr>
                <w:rFonts w:asciiTheme="minorHAnsi" w:hAnsiTheme="minorHAnsi"/>
                <w:b/>
                <w:color w:val="008000"/>
                <w:sz w:val="14"/>
              </w:rPr>
              <w:t>% dei diritti di voto (voto maggiorato)</w:t>
            </w:r>
          </w:p>
        </w:tc>
        <w:tc>
          <w:tcPr>
            <w:tcW w:w="420" w:type="pct"/>
            <w:shd w:val="clear" w:color="auto" w:fill="E2EFD9"/>
          </w:tcPr>
          <w:p w14:paraId="5A8F5106" w14:textId="77777777" w:rsidR="002079F6" w:rsidRPr="004B0C4B" w:rsidRDefault="00DC6263" w:rsidP="004B0C4B">
            <w:pPr>
              <w:keepNext/>
              <w:keepLines/>
              <w:tabs>
                <w:tab w:val="clear" w:pos="360"/>
              </w:tabs>
              <w:spacing w:line="276" w:lineRule="auto"/>
              <w:rPr>
                <w:rFonts w:asciiTheme="minorHAnsi" w:hAnsiTheme="minorHAnsi"/>
                <w:b/>
                <w:color w:val="008000"/>
                <w:sz w:val="14"/>
              </w:rPr>
            </w:pPr>
            <w:r w:rsidRPr="004B0C4B">
              <w:rPr>
                <w:rFonts w:asciiTheme="minorHAnsi" w:hAnsiTheme="minorHAnsi"/>
                <w:b/>
                <w:color w:val="008000"/>
                <w:sz w:val="14"/>
              </w:rPr>
              <w:t>N. massimo di Azioni</w:t>
            </w:r>
          </w:p>
        </w:tc>
        <w:tc>
          <w:tcPr>
            <w:tcW w:w="491" w:type="pct"/>
            <w:shd w:val="clear" w:color="auto" w:fill="E2EFD9"/>
          </w:tcPr>
          <w:p w14:paraId="47242D3E" w14:textId="77777777" w:rsidR="002079F6" w:rsidRPr="004B0C4B" w:rsidRDefault="00DC6263" w:rsidP="004B0C4B">
            <w:pPr>
              <w:keepNext/>
              <w:keepLines/>
              <w:tabs>
                <w:tab w:val="clear" w:pos="360"/>
              </w:tabs>
              <w:spacing w:line="276" w:lineRule="auto"/>
              <w:rPr>
                <w:rFonts w:asciiTheme="minorHAnsi" w:hAnsiTheme="minorHAnsi"/>
                <w:b/>
                <w:color w:val="008000"/>
                <w:sz w:val="14"/>
              </w:rPr>
            </w:pPr>
            <w:r w:rsidRPr="004B0C4B">
              <w:rPr>
                <w:rFonts w:asciiTheme="minorHAnsi" w:hAnsiTheme="minorHAnsi"/>
                <w:b/>
                <w:color w:val="008000"/>
                <w:sz w:val="14"/>
              </w:rPr>
              <w:t>N. Azioni</w:t>
            </w:r>
          </w:p>
        </w:tc>
        <w:tc>
          <w:tcPr>
            <w:tcW w:w="340" w:type="pct"/>
            <w:shd w:val="clear" w:color="auto" w:fill="E2EFD9"/>
          </w:tcPr>
          <w:p w14:paraId="51E88A19" w14:textId="77777777" w:rsidR="002079F6" w:rsidRPr="004B0C4B" w:rsidRDefault="00DC6263" w:rsidP="004B0C4B">
            <w:pPr>
              <w:keepNext/>
              <w:keepLines/>
              <w:tabs>
                <w:tab w:val="clear" w:pos="360"/>
              </w:tabs>
              <w:spacing w:line="276" w:lineRule="auto"/>
              <w:rPr>
                <w:rFonts w:asciiTheme="minorHAnsi" w:hAnsiTheme="minorHAnsi"/>
                <w:b/>
                <w:color w:val="008000"/>
                <w:sz w:val="14"/>
              </w:rPr>
            </w:pPr>
            <w:r w:rsidRPr="004B0C4B">
              <w:rPr>
                <w:rFonts w:asciiTheme="minorHAnsi" w:hAnsiTheme="minorHAnsi"/>
                <w:b/>
                <w:color w:val="008000"/>
                <w:sz w:val="14"/>
              </w:rPr>
              <w:t>% del capitale sociale</w:t>
            </w:r>
          </w:p>
        </w:tc>
        <w:tc>
          <w:tcPr>
            <w:tcW w:w="439" w:type="pct"/>
            <w:shd w:val="clear" w:color="auto" w:fill="E2EFD9"/>
          </w:tcPr>
          <w:p w14:paraId="6106D478" w14:textId="77777777" w:rsidR="002079F6" w:rsidRPr="004B0C4B" w:rsidRDefault="00DC6263" w:rsidP="004B0C4B">
            <w:pPr>
              <w:keepNext/>
              <w:keepLines/>
              <w:tabs>
                <w:tab w:val="clear" w:pos="360"/>
              </w:tabs>
              <w:spacing w:line="276" w:lineRule="auto"/>
              <w:rPr>
                <w:rFonts w:asciiTheme="minorHAnsi" w:hAnsiTheme="minorHAnsi"/>
                <w:b/>
                <w:color w:val="008000"/>
                <w:sz w:val="14"/>
              </w:rPr>
            </w:pPr>
            <w:r w:rsidRPr="004B0C4B">
              <w:rPr>
                <w:rFonts w:asciiTheme="minorHAnsi" w:hAnsiTheme="minorHAnsi"/>
                <w:b/>
                <w:color w:val="008000"/>
                <w:sz w:val="14"/>
              </w:rPr>
              <w:t>% dei diritti di voto (voto maggiorato)</w:t>
            </w:r>
          </w:p>
        </w:tc>
      </w:tr>
      <w:tr w:rsidR="00C87B41" w:rsidRPr="00AF5D53" w14:paraId="2241CD0A" w14:textId="77777777" w:rsidTr="00963CBF">
        <w:tc>
          <w:tcPr>
            <w:tcW w:w="366" w:type="pct"/>
          </w:tcPr>
          <w:p w14:paraId="71FC98E2" w14:textId="77777777" w:rsidR="00C87B41" w:rsidRPr="004B0C4B" w:rsidRDefault="00C87B41" w:rsidP="00C87B41">
            <w:pPr>
              <w:keepNext/>
              <w:keepLines/>
              <w:spacing w:before="60" w:after="60" w:line="276" w:lineRule="auto"/>
              <w:ind w:left="-105" w:right="-108"/>
              <w:rPr>
                <w:rFonts w:asciiTheme="minorHAnsi" w:hAnsiTheme="minorHAnsi"/>
                <w:b/>
                <w:color w:val="000000"/>
                <w:sz w:val="14"/>
              </w:rPr>
            </w:pPr>
            <w:r w:rsidRPr="004B0C4B">
              <w:rPr>
                <w:rFonts w:asciiTheme="minorHAnsi" w:hAnsiTheme="minorHAnsi"/>
                <w:b/>
                <w:color w:val="000000"/>
                <w:sz w:val="14"/>
              </w:rPr>
              <w:t>CAI</w:t>
            </w:r>
          </w:p>
        </w:tc>
        <w:tc>
          <w:tcPr>
            <w:tcW w:w="293" w:type="pct"/>
          </w:tcPr>
          <w:p w14:paraId="0282175B" w14:textId="7B045B5B"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4.600.001</w:t>
            </w:r>
          </w:p>
        </w:tc>
        <w:tc>
          <w:tcPr>
            <w:tcW w:w="294" w:type="pct"/>
          </w:tcPr>
          <w:p w14:paraId="53C6BE45" w14:textId="1A628829"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46,81%</w:t>
            </w:r>
          </w:p>
        </w:tc>
        <w:tc>
          <w:tcPr>
            <w:tcW w:w="295" w:type="pct"/>
          </w:tcPr>
          <w:p w14:paraId="0A7E5076" w14:textId="2A27556D"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46,81%</w:t>
            </w:r>
          </w:p>
        </w:tc>
        <w:tc>
          <w:tcPr>
            <w:tcW w:w="369" w:type="pct"/>
          </w:tcPr>
          <w:p w14:paraId="2AE17EDC" w14:textId="575A2A19"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2.105.777</w:t>
            </w:r>
          </w:p>
        </w:tc>
        <w:tc>
          <w:tcPr>
            <w:tcW w:w="515" w:type="pct"/>
          </w:tcPr>
          <w:p w14:paraId="27CC760C" w14:textId="6806AE31"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369" w:type="pct"/>
          </w:tcPr>
          <w:p w14:paraId="69D95FB5" w14:textId="610AF281"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2.494.224</w:t>
            </w:r>
          </w:p>
        </w:tc>
        <w:tc>
          <w:tcPr>
            <w:tcW w:w="369" w:type="pct"/>
          </w:tcPr>
          <w:p w14:paraId="5339892E" w14:textId="128C7071"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19,74%</w:t>
            </w:r>
          </w:p>
        </w:tc>
        <w:tc>
          <w:tcPr>
            <w:tcW w:w="440" w:type="pct"/>
          </w:tcPr>
          <w:p w14:paraId="61508F2A" w14:textId="2CE7340F"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24,51%</w:t>
            </w:r>
          </w:p>
        </w:tc>
        <w:tc>
          <w:tcPr>
            <w:tcW w:w="420" w:type="pct"/>
          </w:tcPr>
          <w:p w14:paraId="6A9115D9" w14:textId="679B4693"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491.356</w:t>
            </w:r>
          </w:p>
        </w:tc>
        <w:tc>
          <w:tcPr>
            <w:tcW w:w="491" w:type="pct"/>
          </w:tcPr>
          <w:p w14:paraId="5B000CA2" w14:textId="5FAD8AE9"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2.002.868</w:t>
            </w:r>
          </w:p>
        </w:tc>
        <w:tc>
          <w:tcPr>
            <w:tcW w:w="340" w:type="pct"/>
          </w:tcPr>
          <w:p w14:paraId="2BF184C9" w14:textId="4841A2DF"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15,85%</w:t>
            </w:r>
          </w:p>
        </w:tc>
        <w:tc>
          <w:tcPr>
            <w:tcW w:w="439" w:type="pct"/>
          </w:tcPr>
          <w:p w14:paraId="6B7FD601" w14:textId="6827D800"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20,16%</w:t>
            </w:r>
          </w:p>
        </w:tc>
      </w:tr>
      <w:tr w:rsidR="00C87B41" w:rsidRPr="00AF5D53" w14:paraId="62C099DF" w14:textId="77777777" w:rsidTr="00963CBF">
        <w:tc>
          <w:tcPr>
            <w:tcW w:w="366" w:type="pct"/>
          </w:tcPr>
          <w:p w14:paraId="5163C908" w14:textId="77777777" w:rsidR="00C87B41" w:rsidRPr="004B0C4B" w:rsidRDefault="00C87B41" w:rsidP="00C87B41">
            <w:pPr>
              <w:keepNext/>
              <w:keepLines/>
              <w:spacing w:before="60" w:after="60" w:line="276" w:lineRule="auto"/>
              <w:ind w:left="-105" w:right="-108"/>
              <w:rPr>
                <w:rFonts w:asciiTheme="minorHAnsi" w:hAnsiTheme="minorHAnsi"/>
                <w:b/>
                <w:color w:val="000000"/>
                <w:sz w:val="14"/>
              </w:rPr>
            </w:pPr>
            <w:r w:rsidRPr="004B0C4B">
              <w:rPr>
                <w:rFonts w:asciiTheme="minorHAnsi" w:hAnsiTheme="minorHAnsi"/>
                <w:b/>
                <w:color w:val="000000"/>
                <w:sz w:val="14"/>
              </w:rPr>
              <w:t>GGH</w:t>
            </w:r>
          </w:p>
        </w:tc>
        <w:tc>
          <w:tcPr>
            <w:tcW w:w="293" w:type="pct"/>
          </w:tcPr>
          <w:p w14:paraId="7C240DEC" w14:textId="365A76E4"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5.227.273</w:t>
            </w:r>
          </w:p>
        </w:tc>
        <w:tc>
          <w:tcPr>
            <w:tcW w:w="294" w:type="pct"/>
          </w:tcPr>
          <w:p w14:paraId="0E3704A8" w14:textId="758490F7"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53,19%</w:t>
            </w:r>
          </w:p>
        </w:tc>
        <w:tc>
          <w:tcPr>
            <w:tcW w:w="295" w:type="pct"/>
          </w:tcPr>
          <w:p w14:paraId="6FBA667D" w14:textId="7816B8E7"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53,19%</w:t>
            </w:r>
          </w:p>
        </w:tc>
        <w:tc>
          <w:tcPr>
            <w:tcW w:w="369" w:type="pct"/>
          </w:tcPr>
          <w:p w14:paraId="5CFAB1DC" w14:textId="618F36E4"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515" w:type="pct"/>
          </w:tcPr>
          <w:p w14:paraId="188626DB" w14:textId="15F116F9"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369" w:type="pct"/>
          </w:tcPr>
          <w:p w14:paraId="6D8D628B" w14:textId="0E527197"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 xml:space="preserve">5.227.273 </w:t>
            </w:r>
          </w:p>
        </w:tc>
        <w:tc>
          <w:tcPr>
            <w:tcW w:w="369" w:type="pct"/>
          </w:tcPr>
          <w:p w14:paraId="640A572B" w14:textId="1FB73541"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41,37%</w:t>
            </w:r>
          </w:p>
        </w:tc>
        <w:tc>
          <w:tcPr>
            <w:tcW w:w="440" w:type="pct"/>
          </w:tcPr>
          <w:p w14:paraId="7BBF0361" w14:textId="7B390B0D"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51,36%</w:t>
            </w:r>
          </w:p>
        </w:tc>
        <w:tc>
          <w:tcPr>
            <w:tcW w:w="420" w:type="pct"/>
          </w:tcPr>
          <w:p w14:paraId="69F19C9E" w14:textId="36ACE2B7"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491" w:type="pct"/>
          </w:tcPr>
          <w:p w14:paraId="75124751" w14:textId="1EF5BB26"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 xml:space="preserve">5.227.273 </w:t>
            </w:r>
          </w:p>
        </w:tc>
        <w:tc>
          <w:tcPr>
            <w:tcW w:w="340" w:type="pct"/>
          </w:tcPr>
          <w:p w14:paraId="5946DA2C" w14:textId="6C866B86"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41,37%</w:t>
            </w:r>
          </w:p>
        </w:tc>
        <w:tc>
          <w:tcPr>
            <w:tcW w:w="439" w:type="pct"/>
          </w:tcPr>
          <w:p w14:paraId="0E2CAB9F" w14:textId="21A950FE"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52,63%</w:t>
            </w:r>
          </w:p>
        </w:tc>
      </w:tr>
      <w:tr w:rsidR="00C87B41" w:rsidRPr="00AF5D53" w14:paraId="005592EA" w14:textId="77777777" w:rsidTr="00963CBF">
        <w:tc>
          <w:tcPr>
            <w:tcW w:w="366" w:type="pct"/>
          </w:tcPr>
          <w:p w14:paraId="11DBF92D" w14:textId="77777777" w:rsidR="00C87B41" w:rsidRPr="004B0C4B" w:rsidRDefault="00C87B41" w:rsidP="00C87B41">
            <w:pPr>
              <w:keepNext/>
              <w:keepLines/>
              <w:spacing w:before="60" w:after="60" w:line="276" w:lineRule="auto"/>
              <w:ind w:left="-105" w:right="-108"/>
              <w:rPr>
                <w:rFonts w:asciiTheme="minorHAnsi" w:hAnsiTheme="minorHAnsi"/>
                <w:b/>
                <w:color w:val="000000"/>
                <w:sz w:val="14"/>
              </w:rPr>
            </w:pPr>
            <w:r w:rsidRPr="004B0C4B">
              <w:rPr>
                <w:rFonts w:asciiTheme="minorHAnsi" w:hAnsiTheme="minorHAnsi"/>
                <w:b/>
                <w:color w:val="000000"/>
                <w:sz w:val="14"/>
              </w:rPr>
              <w:t>F4P</w:t>
            </w:r>
          </w:p>
        </w:tc>
        <w:tc>
          <w:tcPr>
            <w:tcW w:w="293" w:type="pct"/>
          </w:tcPr>
          <w:p w14:paraId="3EF2DBCF" w14:textId="26EA97A0"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294" w:type="pct"/>
          </w:tcPr>
          <w:p w14:paraId="05E77157" w14:textId="56371AEC"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295" w:type="pct"/>
          </w:tcPr>
          <w:p w14:paraId="1AF3C19E" w14:textId="68940617"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369" w:type="pct"/>
          </w:tcPr>
          <w:p w14:paraId="145787EB" w14:textId="3DA8F6E6"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515" w:type="pct"/>
          </w:tcPr>
          <w:p w14:paraId="7D05FAB7" w14:textId="3476B1E5"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369" w:type="pct"/>
          </w:tcPr>
          <w:p w14:paraId="69702F18" w14:textId="15DFCDA7"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6</w:t>
            </w:r>
            <w:r>
              <w:rPr>
                <w:rFonts w:asciiTheme="minorHAnsi" w:hAnsiTheme="minorHAnsi"/>
                <w:color w:val="000000"/>
                <w:sz w:val="14"/>
              </w:rPr>
              <w:t>50</w:t>
            </w:r>
            <w:r w:rsidRPr="004B0C4B">
              <w:rPr>
                <w:rFonts w:asciiTheme="minorHAnsi" w:hAnsiTheme="minorHAnsi"/>
                <w:color w:val="000000"/>
                <w:sz w:val="14"/>
              </w:rPr>
              <w:t>.</w:t>
            </w:r>
            <w:r>
              <w:rPr>
                <w:rFonts w:asciiTheme="minorHAnsi" w:hAnsiTheme="minorHAnsi"/>
                <w:color w:val="000000"/>
                <w:sz w:val="14"/>
              </w:rPr>
              <w:t>000</w:t>
            </w:r>
          </w:p>
        </w:tc>
        <w:tc>
          <w:tcPr>
            <w:tcW w:w="369" w:type="pct"/>
          </w:tcPr>
          <w:p w14:paraId="0FCBAC39" w14:textId="45E1498C"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5,</w:t>
            </w:r>
            <w:r>
              <w:rPr>
                <w:rFonts w:asciiTheme="minorHAnsi" w:hAnsiTheme="minorHAnsi"/>
                <w:color w:val="000000"/>
                <w:sz w:val="14"/>
              </w:rPr>
              <w:t>14</w:t>
            </w:r>
            <w:r w:rsidRPr="004B0C4B">
              <w:rPr>
                <w:rFonts w:asciiTheme="minorHAnsi" w:hAnsiTheme="minorHAnsi"/>
                <w:color w:val="000000"/>
                <w:sz w:val="14"/>
              </w:rPr>
              <w:t>%</w:t>
            </w:r>
          </w:p>
        </w:tc>
        <w:tc>
          <w:tcPr>
            <w:tcW w:w="440" w:type="pct"/>
          </w:tcPr>
          <w:p w14:paraId="139ACDE4" w14:textId="6ECF5D71"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3,</w:t>
            </w:r>
            <w:r>
              <w:rPr>
                <w:rFonts w:asciiTheme="minorHAnsi" w:hAnsiTheme="minorHAnsi"/>
                <w:color w:val="000000"/>
                <w:sz w:val="14"/>
              </w:rPr>
              <w:t>19</w:t>
            </w:r>
            <w:r w:rsidRPr="004B0C4B">
              <w:rPr>
                <w:rFonts w:asciiTheme="minorHAnsi" w:hAnsiTheme="minorHAnsi"/>
                <w:color w:val="000000"/>
                <w:sz w:val="14"/>
              </w:rPr>
              <w:t>%</w:t>
            </w:r>
          </w:p>
        </w:tc>
        <w:tc>
          <w:tcPr>
            <w:tcW w:w="420" w:type="pct"/>
          </w:tcPr>
          <w:p w14:paraId="34D96CBC" w14:textId="10F987EA"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491" w:type="pct"/>
          </w:tcPr>
          <w:p w14:paraId="142D3806" w14:textId="6128CFF3"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65</w:t>
            </w:r>
            <w:r>
              <w:rPr>
                <w:rFonts w:asciiTheme="minorHAnsi" w:hAnsiTheme="minorHAnsi"/>
                <w:color w:val="000000"/>
                <w:sz w:val="14"/>
              </w:rPr>
              <w:t>0</w:t>
            </w:r>
            <w:r w:rsidRPr="004B0C4B">
              <w:rPr>
                <w:rFonts w:asciiTheme="minorHAnsi" w:hAnsiTheme="minorHAnsi"/>
                <w:color w:val="000000"/>
                <w:sz w:val="14"/>
              </w:rPr>
              <w:t>.</w:t>
            </w:r>
            <w:r>
              <w:rPr>
                <w:rFonts w:asciiTheme="minorHAnsi" w:hAnsiTheme="minorHAnsi"/>
                <w:color w:val="000000"/>
                <w:sz w:val="14"/>
              </w:rPr>
              <w:t>000</w:t>
            </w:r>
          </w:p>
        </w:tc>
        <w:tc>
          <w:tcPr>
            <w:tcW w:w="340" w:type="pct"/>
          </w:tcPr>
          <w:p w14:paraId="25CAFBD9" w14:textId="75BE7E3B"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5,</w:t>
            </w:r>
            <w:r>
              <w:rPr>
                <w:rFonts w:asciiTheme="minorHAnsi" w:hAnsiTheme="minorHAnsi"/>
                <w:color w:val="000000"/>
                <w:sz w:val="14"/>
              </w:rPr>
              <w:t>14</w:t>
            </w:r>
            <w:r w:rsidRPr="004B0C4B">
              <w:rPr>
                <w:rFonts w:asciiTheme="minorHAnsi" w:hAnsiTheme="minorHAnsi"/>
                <w:color w:val="000000"/>
                <w:sz w:val="14"/>
              </w:rPr>
              <w:t>%</w:t>
            </w:r>
          </w:p>
        </w:tc>
        <w:tc>
          <w:tcPr>
            <w:tcW w:w="439" w:type="pct"/>
          </w:tcPr>
          <w:p w14:paraId="772C7A1D" w14:textId="27FD9F49"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3,</w:t>
            </w:r>
            <w:r>
              <w:rPr>
                <w:rFonts w:asciiTheme="minorHAnsi" w:hAnsiTheme="minorHAnsi"/>
                <w:color w:val="000000"/>
                <w:sz w:val="14"/>
              </w:rPr>
              <w:t>27</w:t>
            </w:r>
            <w:r w:rsidRPr="004B0C4B">
              <w:rPr>
                <w:rFonts w:asciiTheme="minorHAnsi" w:hAnsiTheme="minorHAnsi"/>
                <w:color w:val="000000"/>
                <w:sz w:val="14"/>
              </w:rPr>
              <w:t>%</w:t>
            </w:r>
          </w:p>
        </w:tc>
      </w:tr>
      <w:tr w:rsidR="00C87B41" w:rsidRPr="00AF5D53" w14:paraId="34EB222A" w14:textId="77777777" w:rsidTr="00963CBF">
        <w:tc>
          <w:tcPr>
            <w:tcW w:w="366" w:type="pct"/>
          </w:tcPr>
          <w:p w14:paraId="6DF1CF88" w14:textId="77777777" w:rsidR="00C87B41" w:rsidRPr="004B0C4B" w:rsidRDefault="00C87B41" w:rsidP="00C87B41">
            <w:pPr>
              <w:keepNext/>
              <w:keepLines/>
              <w:spacing w:before="60" w:after="60" w:line="276" w:lineRule="auto"/>
              <w:ind w:left="-105" w:right="-108"/>
              <w:rPr>
                <w:rFonts w:asciiTheme="minorHAnsi" w:hAnsiTheme="minorHAnsi"/>
                <w:b/>
                <w:color w:val="000000"/>
                <w:sz w:val="14"/>
              </w:rPr>
            </w:pPr>
            <w:r w:rsidRPr="004B0C4B">
              <w:rPr>
                <w:rFonts w:asciiTheme="minorHAnsi" w:hAnsiTheme="minorHAnsi"/>
                <w:b/>
                <w:color w:val="000000"/>
                <w:sz w:val="14"/>
              </w:rPr>
              <w:t>Emittente</w:t>
            </w:r>
          </w:p>
        </w:tc>
        <w:tc>
          <w:tcPr>
            <w:tcW w:w="293" w:type="pct"/>
          </w:tcPr>
          <w:p w14:paraId="70B37AE8" w14:textId="1BCBACCF"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294" w:type="pct"/>
          </w:tcPr>
          <w:p w14:paraId="307F1117" w14:textId="7FD0B964"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295" w:type="pct"/>
          </w:tcPr>
          <w:p w14:paraId="15BF6E1C" w14:textId="152D0B89"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369" w:type="pct"/>
          </w:tcPr>
          <w:p w14:paraId="6BEFD7F9" w14:textId="7EFC4B4D"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515" w:type="pct"/>
          </w:tcPr>
          <w:p w14:paraId="6B3D6750" w14:textId="02576776"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2.807.792</w:t>
            </w:r>
          </w:p>
        </w:tc>
        <w:tc>
          <w:tcPr>
            <w:tcW w:w="369" w:type="pct"/>
          </w:tcPr>
          <w:p w14:paraId="2DB14BA5" w14:textId="30CA3E95"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369" w:type="pct"/>
          </w:tcPr>
          <w:p w14:paraId="05AFBBDB" w14:textId="0C10729F"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440" w:type="pct"/>
          </w:tcPr>
          <w:p w14:paraId="41C67BE7" w14:textId="0CF1946C"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420" w:type="pct"/>
          </w:tcPr>
          <w:p w14:paraId="768C215C" w14:textId="3198BDF5"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491" w:type="pct"/>
          </w:tcPr>
          <w:p w14:paraId="78E8BB75" w14:textId="0E742B9C"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340" w:type="pct"/>
          </w:tcPr>
          <w:p w14:paraId="136C6D38" w14:textId="062B72AF"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439" w:type="pct"/>
          </w:tcPr>
          <w:p w14:paraId="41A6BE9B" w14:textId="39EF10A7"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r>
      <w:tr w:rsidR="00C87B41" w:rsidRPr="00AF5D53" w14:paraId="39A43A3D" w14:textId="77777777" w:rsidTr="00963CBF">
        <w:tc>
          <w:tcPr>
            <w:tcW w:w="366" w:type="pct"/>
          </w:tcPr>
          <w:p w14:paraId="3B8A87A4" w14:textId="77777777" w:rsidR="00C87B41" w:rsidRPr="004B0C4B" w:rsidRDefault="00C87B41" w:rsidP="00C87B41">
            <w:pPr>
              <w:keepNext/>
              <w:keepLines/>
              <w:spacing w:before="60" w:after="60" w:line="276" w:lineRule="auto"/>
              <w:ind w:left="-105" w:right="-108"/>
              <w:rPr>
                <w:rFonts w:asciiTheme="minorHAnsi" w:hAnsiTheme="minorHAnsi"/>
                <w:b/>
                <w:color w:val="000000"/>
                <w:sz w:val="14"/>
              </w:rPr>
            </w:pPr>
            <w:r w:rsidRPr="004B0C4B">
              <w:rPr>
                <w:rFonts w:asciiTheme="minorHAnsi" w:hAnsiTheme="minorHAnsi"/>
                <w:b/>
                <w:color w:val="000000"/>
                <w:sz w:val="14"/>
              </w:rPr>
              <w:t>Flottante</w:t>
            </w:r>
          </w:p>
        </w:tc>
        <w:tc>
          <w:tcPr>
            <w:tcW w:w="293" w:type="pct"/>
          </w:tcPr>
          <w:p w14:paraId="4C826503" w14:textId="012ACDF9"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294" w:type="pct"/>
          </w:tcPr>
          <w:p w14:paraId="4169F40A" w14:textId="60B8E360"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295" w:type="pct"/>
          </w:tcPr>
          <w:p w14:paraId="18C3F635" w14:textId="4CFE21EB"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369" w:type="pct"/>
          </w:tcPr>
          <w:p w14:paraId="30C9092D" w14:textId="50B38B3E"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515" w:type="pct"/>
          </w:tcPr>
          <w:p w14:paraId="2B71C67C" w14:textId="5D064215"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369" w:type="pct"/>
          </w:tcPr>
          <w:p w14:paraId="46D8534C" w14:textId="3F03A252"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4.2</w:t>
            </w:r>
            <w:r>
              <w:rPr>
                <w:rFonts w:asciiTheme="minorHAnsi" w:hAnsiTheme="minorHAnsi"/>
                <w:color w:val="000000"/>
                <w:sz w:val="14"/>
              </w:rPr>
              <w:t>63</w:t>
            </w:r>
            <w:r w:rsidRPr="004B0C4B">
              <w:rPr>
                <w:rFonts w:asciiTheme="minorHAnsi" w:hAnsiTheme="minorHAnsi"/>
                <w:color w:val="000000"/>
                <w:sz w:val="14"/>
              </w:rPr>
              <w:t>.</w:t>
            </w:r>
            <w:r>
              <w:rPr>
                <w:rFonts w:asciiTheme="minorHAnsi" w:hAnsiTheme="minorHAnsi"/>
                <w:color w:val="000000"/>
                <w:sz w:val="14"/>
              </w:rPr>
              <w:t>569</w:t>
            </w:r>
          </w:p>
        </w:tc>
        <w:tc>
          <w:tcPr>
            <w:tcW w:w="369" w:type="pct"/>
          </w:tcPr>
          <w:p w14:paraId="740052B0" w14:textId="0976F624"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33,</w:t>
            </w:r>
            <w:r>
              <w:rPr>
                <w:rFonts w:asciiTheme="minorHAnsi" w:hAnsiTheme="minorHAnsi"/>
                <w:color w:val="000000"/>
                <w:sz w:val="14"/>
              </w:rPr>
              <w:t>74</w:t>
            </w:r>
            <w:r w:rsidRPr="004B0C4B">
              <w:rPr>
                <w:rFonts w:asciiTheme="minorHAnsi" w:hAnsiTheme="minorHAnsi"/>
                <w:color w:val="000000"/>
                <w:sz w:val="14"/>
              </w:rPr>
              <w:t>%</w:t>
            </w:r>
          </w:p>
        </w:tc>
        <w:tc>
          <w:tcPr>
            <w:tcW w:w="440" w:type="pct"/>
          </w:tcPr>
          <w:p w14:paraId="4B712019" w14:textId="33CD6818"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20,</w:t>
            </w:r>
            <w:r>
              <w:rPr>
                <w:rFonts w:asciiTheme="minorHAnsi" w:hAnsiTheme="minorHAnsi"/>
                <w:color w:val="000000"/>
                <w:sz w:val="14"/>
              </w:rPr>
              <w:t>94</w:t>
            </w:r>
            <w:r w:rsidRPr="004B0C4B">
              <w:rPr>
                <w:rFonts w:asciiTheme="minorHAnsi" w:hAnsiTheme="minorHAnsi"/>
                <w:color w:val="000000"/>
                <w:sz w:val="14"/>
              </w:rPr>
              <w:t>%</w:t>
            </w:r>
          </w:p>
        </w:tc>
        <w:tc>
          <w:tcPr>
            <w:tcW w:w="420" w:type="pct"/>
          </w:tcPr>
          <w:p w14:paraId="4DE94A27" w14:textId="3EEF6A1E"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w:t>
            </w:r>
          </w:p>
        </w:tc>
        <w:tc>
          <w:tcPr>
            <w:tcW w:w="491" w:type="pct"/>
          </w:tcPr>
          <w:p w14:paraId="09CEA9AA" w14:textId="4989A378"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4.7</w:t>
            </w:r>
            <w:r>
              <w:rPr>
                <w:rFonts w:asciiTheme="minorHAnsi" w:hAnsiTheme="minorHAnsi"/>
                <w:color w:val="000000"/>
                <w:sz w:val="14"/>
              </w:rPr>
              <w:t>54</w:t>
            </w:r>
            <w:r w:rsidRPr="004B0C4B">
              <w:rPr>
                <w:rFonts w:asciiTheme="minorHAnsi" w:hAnsiTheme="minorHAnsi"/>
                <w:color w:val="000000"/>
                <w:sz w:val="14"/>
              </w:rPr>
              <w:t>.</w:t>
            </w:r>
            <w:r>
              <w:rPr>
                <w:rFonts w:asciiTheme="minorHAnsi" w:hAnsiTheme="minorHAnsi"/>
                <w:color w:val="000000"/>
                <w:sz w:val="14"/>
              </w:rPr>
              <w:t>925</w:t>
            </w:r>
          </w:p>
        </w:tc>
        <w:tc>
          <w:tcPr>
            <w:tcW w:w="340" w:type="pct"/>
          </w:tcPr>
          <w:p w14:paraId="584F9D06" w14:textId="4051053D"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37,</w:t>
            </w:r>
            <w:r>
              <w:rPr>
                <w:rFonts w:asciiTheme="minorHAnsi" w:hAnsiTheme="minorHAnsi"/>
                <w:color w:val="000000"/>
                <w:sz w:val="14"/>
              </w:rPr>
              <w:t>63</w:t>
            </w:r>
            <w:r w:rsidRPr="004B0C4B">
              <w:rPr>
                <w:rFonts w:asciiTheme="minorHAnsi" w:hAnsiTheme="minorHAnsi"/>
                <w:color w:val="000000"/>
                <w:sz w:val="14"/>
              </w:rPr>
              <w:t>%</w:t>
            </w:r>
          </w:p>
        </w:tc>
        <w:tc>
          <w:tcPr>
            <w:tcW w:w="439" w:type="pct"/>
          </w:tcPr>
          <w:p w14:paraId="0147C6DA" w14:textId="7F42DC68" w:rsidR="00C87B41" w:rsidRPr="004B0C4B" w:rsidRDefault="00C87B41" w:rsidP="00C87B41">
            <w:pPr>
              <w:keepNext/>
              <w:keepLines/>
              <w:spacing w:before="60" w:after="60" w:line="276" w:lineRule="auto"/>
              <w:ind w:left="-105" w:right="-108"/>
              <w:rPr>
                <w:rFonts w:asciiTheme="minorHAnsi" w:hAnsiTheme="minorHAnsi"/>
                <w:color w:val="000000"/>
                <w:sz w:val="14"/>
              </w:rPr>
            </w:pPr>
            <w:r w:rsidRPr="004B0C4B">
              <w:rPr>
                <w:rFonts w:asciiTheme="minorHAnsi" w:hAnsiTheme="minorHAnsi"/>
                <w:color w:val="000000"/>
                <w:sz w:val="14"/>
              </w:rPr>
              <w:t>23,9</w:t>
            </w:r>
            <w:r>
              <w:rPr>
                <w:rFonts w:asciiTheme="minorHAnsi" w:hAnsiTheme="minorHAnsi"/>
                <w:color w:val="000000"/>
                <w:sz w:val="14"/>
              </w:rPr>
              <w:t>4</w:t>
            </w:r>
            <w:r w:rsidRPr="004B0C4B">
              <w:rPr>
                <w:rFonts w:asciiTheme="minorHAnsi" w:hAnsiTheme="minorHAnsi"/>
                <w:color w:val="000000"/>
                <w:sz w:val="14"/>
              </w:rPr>
              <w:t>%</w:t>
            </w:r>
          </w:p>
        </w:tc>
      </w:tr>
      <w:tr w:rsidR="00C87B41" w:rsidRPr="00AF5D53" w14:paraId="78F22BE8" w14:textId="77777777" w:rsidTr="00963CBF">
        <w:tc>
          <w:tcPr>
            <w:tcW w:w="366" w:type="pct"/>
          </w:tcPr>
          <w:p w14:paraId="6C5B13F8" w14:textId="77777777" w:rsidR="00C87B41" w:rsidRPr="004B0C4B" w:rsidRDefault="00C87B41" w:rsidP="00C87B41">
            <w:pPr>
              <w:keepNext/>
              <w:keepLines/>
              <w:spacing w:before="60" w:after="60" w:line="276" w:lineRule="auto"/>
              <w:ind w:left="-105" w:right="-108"/>
              <w:rPr>
                <w:rFonts w:asciiTheme="minorHAnsi" w:hAnsiTheme="minorHAnsi"/>
                <w:b/>
                <w:color w:val="000000"/>
                <w:sz w:val="14"/>
              </w:rPr>
            </w:pPr>
            <w:r w:rsidRPr="004B0C4B">
              <w:rPr>
                <w:rFonts w:asciiTheme="minorHAnsi" w:hAnsiTheme="minorHAnsi"/>
                <w:b/>
                <w:color w:val="000000"/>
                <w:sz w:val="14"/>
              </w:rPr>
              <w:t>Totale</w:t>
            </w:r>
          </w:p>
        </w:tc>
        <w:tc>
          <w:tcPr>
            <w:tcW w:w="293" w:type="pct"/>
          </w:tcPr>
          <w:p w14:paraId="7D1A0647" w14:textId="43CC894B" w:rsidR="00C87B41" w:rsidRPr="004B0C4B" w:rsidRDefault="00C87B41" w:rsidP="00C87B41">
            <w:pPr>
              <w:keepNext/>
              <w:keepLines/>
              <w:spacing w:before="60" w:after="60" w:line="276" w:lineRule="auto"/>
              <w:ind w:left="-105" w:right="-108"/>
              <w:rPr>
                <w:rFonts w:asciiTheme="minorHAnsi" w:hAnsiTheme="minorHAnsi"/>
                <w:b/>
                <w:color w:val="000000"/>
                <w:sz w:val="14"/>
              </w:rPr>
            </w:pPr>
            <w:r w:rsidRPr="004B0C4B">
              <w:rPr>
                <w:rFonts w:asciiTheme="minorHAnsi" w:hAnsiTheme="minorHAnsi"/>
                <w:b/>
                <w:color w:val="000000"/>
                <w:sz w:val="14"/>
              </w:rPr>
              <w:t>9.827.274</w:t>
            </w:r>
          </w:p>
        </w:tc>
        <w:tc>
          <w:tcPr>
            <w:tcW w:w="294" w:type="pct"/>
          </w:tcPr>
          <w:p w14:paraId="6A6FD54A" w14:textId="789299B3" w:rsidR="00C87B41" w:rsidRPr="004B0C4B" w:rsidRDefault="00C87B41" w:rsidP="00C87B41">
            <w:pPr>
              <w:keepNext/>
              <w:keepLines/>
              <w:spacing w:before="60" w:after="60" w:line="276" w:lineRule="auto"/>
              <w:ind w:left="-105" w:right="-108"/>
              <w:rPr>
                <w:rFonts w:asciiTheme="minorHAnsi" w:hAnsiTheme="minorHAnsi"/>
                <w:b/>
                <w:color w:val="000000"/>
                <w:sz w:val="14"/>
              </w:rPr>
            </w:pPr>
            <w:r w:rsidRPr="004B0C4B">
              <w:rPr>
                <w:rFonts w:asciiTheme="minorHAnsi" w:hAnsiTheme="minorHAnsi"/>
                <w:b/>
                <w:color w:val="000000"/>
                <w:sz w:val="14"/>
              </w:rPr>
              <w:t>100%</w:t>
            </w:r>
          </w:p>
        </w:tc>
        <w:tc>
          <w:tcPr>
            <w:tcW w:w="295" w:type="pct"/>
          </w:tcPr>
          <w:p w14:paraId="5F566FB1" w14:textId="6AF4DEF6" w:rsidR="00C87B41" w:rsidRPr="004B0C4B" w:rsidRDefault="00C87B41" w:rsidP="00C87B41">
            <w:pPr>
              <w:keepNext/>
              <w:keepLines/>
              <w:spacing w:before="60" w:after="60" w:line="276" w:lineRule="auto"/>
              <w:ind w:left="-105" w:right="-108"/>
              <w:rPr>
                <w:rFonts w:asciiTheme="minorHAnsi" w:hAnsiTheme="minorHAnsi"/>
                <w:b/>
                <w:color w:val="000000"/>
                <w:sz w:val="14"/>
              </w:rPr>
            </w:pPr>
            <w:r w:rsidRPr="004B0C4B">
              <w:rPr>
                <w:rFonts w:asciiTheme="minorHAnsi" w:hAnsiTheme="minorHAnsi"/>
                <w:b/>
                <w:color w:val="000000"/>
                <w:sz w:val="14"/>
              </w:rPr>
              <w:t>100%</w:t>
            </w:r>
          </w:p>
        </w:tc>
        <w:tc>
          <w:tcPr>
            <w:tcW w:w="369" w:type="pct"/>
          </w:tcPr>
          <w:p w14:paraId="1207C427" w14:textId="4298DEDD" w:rsidR="00C87B41" w:rsidRPr="004B0C4B" w:rsidRDefault="00C87B41" w:rsidP="00C87B41">
            <w:pPr>
              <w:keepNext/>
              <w:keepLines/>
              <w:spacing w:before="60" w:after="60" w:line="276" w:lineRule="auto"/>
              <w:ind w:left="-105" w:right="-108"/>
              <w:rPr>
                <w:rFonts w:asciiTheme="minorHAnsi" w:hAnsiTheme="minorHAnsi"/>
                <w:b/>
                <w:color w:val="000000"/>
                <w:sz w:val="14"/>
              </w:rPr>
            </w:pPr>
            <w:r w:rsidRPr="004B0C4B">
              <w:rPr>
                <w:rFonts w:asciiTheme="minorHAnsi" w:hAnsiTheme="minorHAnsi"/>
                <w:b/>
                <w:color w:val="000000"/>
                <w:sz w:val="14"/>
              </w:rPr>
              <w:t>2.105.777</w:t>
            </w:r>
          </w:p>
        </w:tc>
        <w:tc>
          <w:tcPr>
            <w:tcW w:w="515" w:type="pct"/>
          </w:tcPr>
          <w:p w14:paraId="4EFCC064" w14:textId="164D1A1E" w:rsidR="00C87B41" w:rsidRPr="004B0C4B" w:rsidRDefault="00C87B41" w:rsidP="00C87B41">
            <w:pPr>
              <w:keepNext/>
              <w:keepLines/>
              <w:spacing w:before="60" w:after="60" w:line="276" w:lineRule="auto"/>
              <w:ind w:left="-105" w:right="-108"/>
              <w:rPr>
                <w:rFonts w:asciiTheme="minorHAnsi" w:hAnsiTheme="minorHAnsi"/>
                <w:b/>
                <w:color w:val="000000"/>
                <w:sz w:val="14"/>
              </w:rPr>
            </w:pPr>
            <w:r w:rsidRPr="004B0C4B">
              <w:rPr>
                <w:rFonts w:asciiTheme="minorHAnsi" w:hAnsiTheme="minorHAnsi"/>
                <w:b/>
                <w:color w:val="000000"/>
                <w:sz w:val="14"/>
              </w:rPr>
              <w:t>2.807.792</w:t>
            </w:r>
          </w:p>
        </w:tc>
        <w:tc>
          <w:tcPr>
            <w:tcW w:w="369" w:type="pct"/>
          </w:tcPr>
          <w:p w14:paraId="516DAD52" w14:textId="5498707E" w:rsidR="00C87B41" w:rsidRPr="004B0C4B" w:rsidRDefault="00C87B41" w:rsidP="00C87B41">
            <w:pPr>
              <w:keepNext/>
              <w:keepLines/>
              <w:spacing w:before="60" w:after="60" w:line="276" w:lineRule="auto"/>
              <w:ind w:left="-105" w:right="-108"/>
              <w:rPr>
                <w:rFonts w:asciiTheme="minorHAnsi" w:hAnsiTheme="minorHAnsi"/>
                <w:b/>
                <w:color w:val="000000"/>
                <w:sz w:val="14"/>
              </w:rPr>
            </w:pPr>
            <w:r w:rsidRPr="004B0C4B">
              <w:rPr>
                <w:rFonts w:asciiTheme="minorHAnsi" w:hAnsiTheme="minorHAnsi"/>
                <w:b/>
                <w:color w:val="000000"/>
                <w:sz w:val="14"/>
              </w:rPr>
              <w:t>12.635.066</w:t>
            </w:r>
          </w:p>
        </w:tc>
        <w:tc>
          <w:tcPr>
            <w:tcW w:w="369" w:type="pct"/>
          </w:tcPr>
          <w:p w14:paraId="779EF954" w14:textId="31D8B731" w:rsidR="00C87B41" w:rsidRPr="004B0C4B" w:rsidRDefault="00C87B41" w:rsidP="00C87B41">
            <w:pPr>
              <w:keepNext/>
              <w:keepLines/>
              <w:spacing w:before="60" w:after="60" w:line="276" w:lineRule="auto"/>
              <w:ind w:left="-105" w:right="-108"/>
              <w:rPr>
                <w:rFonts w:asciiTheme="minorHAnsi" w:hAnsiTheme="minorHAnsi"/>
                <w:b/>
                <w:color w:val="000000"/>
                <w:sz w:val="14"/>
              </w:rPr>
            </w:pPr>
            <w:r w:rsidRPr="004B0C4B">
              <w:rPr>
                <w:rFonts w:asciiTheme="minorHAnsi" w:hAnsiTheme="minorHAnsi"/>
                <w:b/>
                <w:color w:val="000000"/>
                <w:sz w:val="14"/>
              </w:rPr>
              <w:t>100%</w:t>
            </w:r>
          </w:p>
        </w:tc>
        <w:tc>
          <w:tcPr>
            <w:tcW w:w="440" w:type="pct"/>
          </w:tcPr>
          <w:p w14:paraId="28D003DA" w14:textId="197FFE39" w:rsidR="00C87B41" w:rsidRPr="004B0C4B" w:rsidRDefault="00C87B41" w:rsidP="00C87B41">
            <w:pPr>
              <w:keepNext/>
              <w:keepLines/>
              <w:spacing w:before="60" w:after="60" w:line="276" w:lineRule="auto"/>
              <w:ind w:left="-105" w:right="-108"/>
              <w:rPr>
                <w:rFonts w:asciiTheme="minorHAnsi" w:hAnsiTheme="minorHAnsi"/>
                <w:b/>
                <w:color w:val="000000"/>
                <w:sz w:val="14"/>
              </w:rPr>
            </w:pPr>
            <w:r w:rsidRPr="004B0C4B">
              <w:rPr>
                <w:rFonts w:asciiTheme="minorHAnsi" w:hAnsiTheme="minorHAnsi"/>
                <w:b/>
                <w:color w:val="000000"/>
                <w:sz w:val="14"/>
              </w:rPr>
              <w:t>100%</w:t>
            </w:r>
          </w:p>
        </w:tc>
        <w:tc>
          <w:tcPr>
            <w:tcW w:w="420" w:type="pct"/>
          </w:tcPr>
          <w:p w14:paraId="4F30913E" w14:textId="1F4E8D63" w:rsidR="00C87B41" w:rsidRPr="00A52F65" w:rsidRDefault="00C87B41" w:rsidP="00C87B41">
            <w:pPr>
              <w:keepNext/>
              <w:keepLines/>
              <w:spacing w:before="60" w:after="60" w:line="276" w:lineRule="auto"/>
              <w:ind w:left="-105" w:right="-108"/>
              <w:rPr>
                <w:rFonts w:asciiTheme="minorHAnsi" w:hAnsiTheme="minorHAnsi"/>
                <w:b/>
                <w:bCs/>
                <w:color w:val="000000"/>
                <w:sz w:val="14"/>
              </w:rPr>
            </w:pPr>
            <w:r w:rsidRPr="004B0C4B">
              <w:rPr>
                <w:rFonts w:asciiTheme="minorHAnsi" w:hAnsiTheme="minorHAnsi"/>
                <w:color w:val="000000"/>
                <w:sz w:val="14"/>
              </w:rPr>
              <w:t>491.356</w:t>
            </w:r>
          </w:p>
        </w:tc>
        <w:tc>
          <w:tcPr>
            <w:tcW w:w="491" w:type="pct"/>
          </w:tcPr>
          <w:p w14:paraId="1540E991" w14:textId="5159ADCA" w:rsidR="00C87B41" w:rsidRPr="004B0C4B" w:rsidRDefault="00C87B41" w:rsidP="00C87B41">
            <w:pPr>
              <w:keepNext/>
              <w:keepLines/>
              <w:spacing w:before="60" w:after="60" w:line="276" w:lineRule="auto"/>
              <w:ind w:left="-105" w:right="-108"/>
              <w:rPr>
                <w:rFonts w:asciiTheme="minorHAnsi" w:hAnsiTheme="minorHAnsi"/>
                <w:b/>
                <w:color w:val="000000"/>
                <w:sz w:val="14"/>
              </w:rPr>
            </w:pPr>
            <w:r w:rsidRPr="004B0C4B">
              <w:rPr>
                <w:rFonts w:asciiTheme="minorHAnsi" w:hAnsiTheme="minorHAnsi"/>
                <w:b/>
                <w:color w:val="000000"/>
                <w:sz w:val="14"/>
              </w:rPr>
              <w:t>12.635.066</w:t>
            </w:r>
          </w:p>
        </w:tc>
        <w:tc>
          <w:tcPr>
            <w:tcW w:w="340" w:type="pct"/>
          </w:tcPr>
          <w:p w14:paraId="764D24AF" w14:textId="08E5A416" w:rsidR="00C87B41" w:rsidRPr="004B0C4B" w:rsidRDefault="00C87B41" w:rsidP="00C87B41">
            <w:pPr>
              <w:keepNext/>
              <w:keepLines/>
              <w:spacing w:before="60" w:after="60" w:line="276" w:lineRule="auto"/>
              <w:ind w:left="-105" w:right="-108"/>
              <w:rPr>
                <w:rFonts w:asciiTheme="minorHAnsi" w:hAnsiTheme="minorHAnsi"/>
                <w:b/>
                <w:color w:val="000000"/>
                <w:sz w:val="14"/>
              </w:rPr>
            </w:pPr>
            <w:r w:rsidRPr="004B0C4B">
              <w:rPr>
                <w:rFonts w:asciiTheme="minorHAnsi" w:hAnsiTheme="minorHAnsi"/>
                <w:b/>
                <w:color w:val="000000"/>
                <w:sz w:val="14"/>
              </w:rPr>
              <w:t>100%</w:t>
            </w:r>
          </w:p>
        </w:tc>
        <w:tc>
          <w:tcPr>
            <w:tcW w:w="439" w:type="pct"/>
          </w:tcPr>
          <w:p w14:paraId="08853295" w14:textId="34C51643" w:rsidR="00C87B41" w:rsidRPr="004B0C4B" w:rsidRDefault="00C87B41" w:rsidP="00C87B41">
            <w:pPr>
              <w:keepNext/>
              <w:keepLines/>
              <w:spacing w:before="60" w:after="60" w:line="276" w:lineRule="auto"/>
              <w:ind w:left="-105" w:right="-108"/>
              <w:rPr>
                <w:rFonts w:asciiTheme="minorHAnsi" w:hAnsiTheme="minorHAnsi"/>
                <w:b/>
                <w:color w:val="000000"/>
                <w:sz w:val="14"/>
              </w:rPr>
            </w:pPr>
            <w:r w:rsidRPr="004B0C4B">
              <w:rPr>
                <w:rFonts w:asciiTheme="minorHAnsi" w:hAnsiTheme="minorHAnsi"/>
                <w:b/>
                <w:color w:val="000000"/>
                <w:sz w:val="14"/>
              </w:rPr>
              <w:t>100%</w:t>
            </w:r>
          </w:p>
        </w:tc>
      </w:tr>
    </w:tbl>
    <w:p w14:paraId="3DB3EED9" w14:textId="77777777" w:rsidR="004E01BA" w:rsidRDefault="00DC6263" w:rsidP="008B765D">
      <w:pPr>
        <w:keepNext/>
        <w:keepLines/>
        <w:spacing w:beforeLines="60" w:before="144" w:afterLines="120" w:after="288" w:line="276" w:lineRule="auto"/>
        <w:jc w:val="both"/>
      </w:pPr>
      <w:r>
        <w:t xml:space="preserve">Il periodo di </w:t>
      </w:r>
      <w:r w:rsidRPr="004E01BA">
        <w:rPr>
          <w:i/>
          <w:iCs/>
        </w:rPr>
        <w:t>lock-up</w:t>
      </w:r>
      <w:r>
        <w:t xml:space="preserve"> </w:t>
      </w:r>
      <w:r w:rsidR="00794D46">
        <w:t>assunto dal</w:t>
      </w:r>
      <w:r>
        <w:t>la Società, l’Azionista Venditore e GGH – Gruppo General Holding S.r.l. (azionista di controllo della Società) (“</w:t>
      </w:r>
      <w:r>
        <w:rPr>
          <w:b/>
          <w:bCs/>
        </w:rPr>
        <w:t>GGH</w:t>
      </w:r>
      <w:r>
        <w:t>”)</w:t>
      </w:r>
      <w:r w:rsidR="00794D46">
        <w:t xml:space="preserve"> nei confronti dei Joint Global Coordinator </w:t>
      </w:r>
      <w:r w:rsidR="00794D46" w:rsidRPr="00794D46">
        <w:t xml:space="preserve">sarà </w:t>
      </w:r>
      <w:r w:rsidR="00794D46">
        <w:t>pari a</w:t>
      </w:r>
      <w:r w:rsidR="00794D46" w:rsidRPr="00794D46">
        <w:t xml:space="preserve"> 12 mesi a partire dalla data di inizio delle negoziazioni</w:t>
      </w:r>
      <w:r>
        <w:t>.</w:t>
      </w:r>
    </w:p>
    <w:p w14:paraId="3ADEE2E8" w14:textId="43FC58D8" w:rsidR="00EB1DF2" w:rsidRDefault="00DC6263" w:rsidP="008B765D">
      <w:pPr>
        <w:keepNext/>
        <w:keepLines/>
        <w:spacing w:beforeLines="60" w:before="144" w:afterLines="120" w:after="288" w:line="276" w:lineRule="auto"/>
        <w:jc w:val="both"/>
      </w:pPr>
      <w:r w:rsidRPr="00D812AF">
        <w:t xml:space="preserve">La data di pagamento </w:t>
      </w:r>
      <w:r w:rsidR="008B0193">
        <w:t>del Prezzo di Offerta</w:t>
      </w:r>
      <w:r w:rsidRPr="00D812AF">
        <w:t xml:space="preserve"> </w:t>
      </w:r>
      <w:r w:rsidR="00F00E98" w:rsidRPr="00D812AF">
        <w:t>è prevista</w:t>
      </w:r>
      <w:r w:rsidRPr="00D812AF">
        <w:t xml:space="preserve"> per il 29 giugno 2022.</w:t>
      </w:r>
      <w:r w:rsidR="00E526BB">
        <w:t xml:space="preserve"> </w:t>
      </w:r>
      <w:r w:rsidR="00E526BB" w:rsidRPr="00570C98">
        <w:t xml:space="preserve">La data di avvio delle negoziazioni, prevista per il </w:t>
      </w:r>
      <w:r w:rsidR="00E526BB">
        <w:t>29 giugno 2022</w:t>
      </w:r>
      <w:r w:rsidR="00E526BB" w:rsidRPr="00570C98">
        <w:t>, sarà disposta da Borsa Italiana con avviso, previa verifica della sufficiente diffusione tra il pubblico delle Azioni della Società a seguito del</w:t>
      </w:r>
      <w:r w:rsidR="00E526BB">
        <w:t>l’Offerta</w:t>
      </w:r>
      <w:r w:rsidR="00E526BB" w:rsidRPr="00570C98">
        <w:t>. Con il summenzionato avviso, previa verifica della sussistenza dei requisiti di capitalizzazione e diffusione tra il pubblico stabiliti dalla normativa applicabile, sarà attribuita alle Azioni della Società la qualifica di STAR.</w:t>
      </w:r>
    </w:p>
    <w:p w14:paraId="13B3C396" w14:textId="77777777" w:rsidR="00612083" w:rsidRDefault="00DC6263" w:rsidP="008B765D">
      <w:pPr>
        <w:keepNext/>
        <w:keepLines/>
        <w:spacing w:beforeLines="60" w:before="144" w:afterLines="120" w:after="288" w:line="276" w:lineRule="auto"/>
        <w:jc w:val="center"/>
      </w:pPr>
      <w:r>
        <w:t>***</w:t>
      </w:r>
    </w:p>
    <w:p w14:paraId="72631B25" w14:textId="77777777" w:rsidR="00BC4ACC" w:rsidRPr="00EC07B5" w:rsidRDefault="00DC6263" w:rsidP="008B765D">
      <w:pPr>
        <w:keepNext/>
        <w:keepLines/>
        <w:spacing w:after="100" w:afterAutospacing="1" w:line="276" w:lineRule="auto"/>
        <w:jc w:val="both"/>
      </w:pPr>
      <w:r>
        <w:rPr>
          <w:iCs/>
        </w:rPr>
        <w:t xml:space="preserve">Nell’ambito dell’Offerta, </w:t>
      </w:r>
      <w:r w:rsidR="007741DE" w:rsidRPr="007741DE">
        <w:rPr>
          <w:i/>
        </w:rPr>
        <w:t>(</w:t>
      </w:r>
      <w:r w:rsidR="00236A7A">
        <w:rPr>
          <w:i/>
        </w:rPr>
        <w:t>a</w:t>
      </w:r>
      <w:r w:rsidR="007741DE" w:rsidRPr="007741DE">
        <w:rPr>
          <w:i/>
        </w:rPr>
        <w:t>)</w:t>
      </w:r>
      <w:r w:rsidR="007741DE">
        <w:rPr>
          <w:iCs/>
        </w:rPr>
        <w:t xml:space="preserve"> Banca Akros S.p.A. </w:t>
      </w:r>
      <w:r>
        <w:rPr>
          <w:iCs/>
        </w:rPr>
        <w:t xml:space="preserve">e </w:t>
      </w:r>
      <w:r w:rsidRPr="00FC77BD">
        <w:t xml:space="preserve">Intesa Sanpaolo S.p.A. – IMI </w:t>
      </w:r>
      <w:r w:rsidRPr="00BC4ACC">
        <w:rPr>
          <w:i/>
          <w:iCs/>
        </w:rPr>
        <w:t xml:space="preserve">Corporate and Investment Banking </w:t>
      </w:r>
      <w:r w:rsidR="00D812AF">
        <w:rPr>
          <w:iCs/>
        </w:rPr>
        <w:t>hanno agito</w:t>
      </w:r>
      <w:r w:rsidR="007741DE">
        <w:rPr>
          <w:iCs/>
        </w:rPr>
        <w:t xml:space="preserve"> in qualità di </w:t>
      </w:r>
      <w:r w:rsidR="007741DE" w:rsidRPr="003A6541">
        <w:rPr>
          <w:iCs/>
        </w:rPr>
        <w:t>Joint Global Coordinator</w:t>
      </w:r>
      <w:r w:rsidRPr="003A6541">
        <w:rPr>
          <w:iCs/>
        </w:rPr>
        <w:t xml:space="preserve"> e Joint Bookrunner</w:t>
      </w:r>
      <w:r w:rsidR="007741DE">
        <w:rPr>
          <w:iCs/>
        </w:rPr>
        <w:t xml:space="preserve">; </w:t>
      </w:r>
      <w:r w:rsidR="007741DE" w:rsidRPr="007741DE">
        <w:rPr>
          <w:i/>
        </w:rPr>
        <w:t>(</w:t>
      </w:r>
      <w:r w:rsidR="00236A7A">
        <w:rPr>
          <w:i/>
        </w:rPr>
        <w:t>b</w:t>
      </w:r>
      <w:r w:rsidR="007741DE" w:rsidRPr="007741DE">
        <w:rPr>
          <w:i/>
        </w:rPr>
        <w:t xml:space="preserve">) </w:t>
      </w:r>
      <w:r w:rsidR="007741DE">
        <w:rPr>
          <w:iCs/>
        </w:rPr>
        <w:t xml:space="preserve">Ceresio SIM S.p.A. e Invest </w:t>
      </w:r>
      <w:proofErr w:type="spellStart"/>
      <w:r w:rsidR="007741DE">
        <w:rPr>
          <w:iCs/>
        </w:rPr>
        <w:t>Italy</w:t>
      </w:r>
      <w:proofErr w:type="spellEnd"/>
      <w:r w:rsidR="007741DE">
        <w:rPr>
          <w:iCs/>
        </w:rPr>
        <w:t xml:space="preserve"> SIM S.p.A. </w:t>
      </w:r>
      <w:r w:rsidR="00D812AF">
        <w:rPr>
          <w:iCs/>
        </w:rPr>
        <w:t>hanno agito</w:t>
      </w:r>
      <w:r w:rsidR="007741DE">
        <w:rPr>
          <w:iCs/>
        </w:rPr>
        <w:t xml:space="preserve"> in qualità di </w:t>
      </w:r>
      <w:r w:rsidR="007741DE" w:rsidRPr="00BC4ACC">
        <w:rPr>
          <w:i/>
        </w:rPr>
        <w:t>Co-Lead Manager</w:t>
      </w:r>
      <w:r w:rsidR="007741DE">
        <w:rPr>
          <w:iCs/>
        </w:rPr>
        <w:t xml:space="preserve">. </w:t>
      </w:r>
      <w:r w:rsidRPr="00EC07B5">
        <w:t>Banca Akros S.p.A. agi</w:t>
      </w:r>
      <w:r>
        <w:t>sce</w:t>
      </w:r>
      <w:r w:rsidRPr="00EC07B5">
        <w:t xml:space="preserve"> inoltre in qualità di </w:t>
      </w:r>
      <w:r w:rsidRPr="00EC07B5">
        <w:rPr>
          <w:i/>
        </w:rPr>
        <w:t>sponsor</w:t>
      </w:r>
      <w:r w:rsidRPr="00EC07B5">
        <w:t xml:space="preserve"> ai fini della Quotazione. In caso di quotazione sul Segmento Euronext STAR Milan, Intesa Sanpaolo S.p.A. – IMI </w:t>
      </w:r>
      <w:r w:rsidRPr="00EC07B5">
        <w:rPr>
          <w:i/>
        </w:rPr>
        <w:t>Corporate and Investment Banking</w:t>
      </w:r>
      <w:r w:rsidRPr="00EC07B5">
        <w:t xml:space="preserve"> agirà inoltre in qualità di specialista</w:t>
      </w:r>
      <w:r w:rsidR="005A1978">
        <w:t xml:space="preserve"> delle Azioni</w:t>
      </w:r>
      <w:r w:rsidRPr="00EC07B5">
        <w:t>.</w:t>
      </w:r>
    </w:p>
    <w:p w14:paraId="5F15497C" w14:textId="4517334D" w:rsidR="005A1978" w:rsidRPr="00294134" w:rsidRDefault="00DC6263" w:rsidP="008B765D">
      <w:pPr>
        <w:keepNext/>
        <w:keepLines/>
        <w:spacing w:beforeLines="60" w:before="144" w:afterLines="120" w:after="288" w:line="276" w:lineRule="auto"/>
        <w:jc w:val="both"/>
      </w:pPr>
      <w:r w:rsidRPr="00294134">
        <w:t xml:space="preserve">I consulenti legali incaricati dalla Società sono Bonelli Erede, per gli aspetti di diritto italiano, e DLA Piper per gli aspetti di diritto statunitense e inglese. </w:t>
      </w:r>
      <w:proofErr w:type="spellStart"/>
      <w:r w:rsidRPr="00294134">
        <w:t>Linklaters</w:t>
      </w:r>
      <w:proofErr w:type="spellEnd"/>
      <w:r w:rsidRPr="00294134">
        <w:t xml:space="preserve"> agisce in qualità di consulente legale per i </w:t>
      </w:r>
      <w:r w:rsidR="00D43487" w:rsidRPr="003A6541">
        <w:rPr>
          <w:iCs/>
        </w:rPr>
        <w:t xml:space="preserve">Joint Global Coordinator </w:t>
      </w:r>
      <w:r w:rsidR="00D43487">
        <w:rPr>
          <w:iCs/>
        </w:rPr>
        <w:t xml:space="preserve">e i </w:t>
      </w:r>
      <w:r w:rsidR="00D43487" w:rsidRPr="00D43487">
        <w:rPr>
          <w:iCs/>
        </w:rPr>
        <w:t>Co-Lead Manager</w:t>
      </w:r>
      <w:r w:rsidRPr="00294134">
        <w:t>.</w:t>
      </w:r>
      <w:r w:rsidR="0001395D">
        <w:t xml:space="preserve"> Grimaldi </w:t>
      </w:r>
      <w:r w:rsidR="00D953F0">
        <w:t xml:space="preserve">Studio Legale </w:t>
      </w:r>
      <w:r w:rsidR="0001395D">
        <w:t xml:space="preserve">agisce in qualità di consulente legale </w:t>
      </w:r>
      <w:r w:rsidR="00D953F0">
        <w:t>del</w:t>
      </w:r>
      <w:r w:rsidR="0001395D">
        <w:t>l’azionista GGH</w:t>
      </w:r>
      <w:r w:rsidR="00D953F0">
        <w:t>.</w:t>
      </w:r>
    </w:p>
    <w:p w14:paraId="4EB0FB61" w14:textId="77777777" w:rsidR="00D953F0" w:rsidRDefault="00DC6263" w:rsidP="008B765D">
      <w:pPr>
        <w:keepNext/>
        <w:keepLines/>
        <w:spacing w:after="100" w:afterAutospacing="1" w:line="240" w:lineRule="auto"/>
        <w:jc w:val="center"/>
      </w:pPr>
      <w:r w:rsidRPr="006A42EE">
        <w:t>***</w:t>
      </w:r>
    </w:p>
    <w:p w14:paraId="76A89033" w14:textId="77777777" w:rsidR="00D953F0" w:rsidRDefault="00DC6263" w:rsidP="008B765D">
      <w:pPr>
        <w:keepNext/>
        <w:keepLines/>
        <w:spacing w:after="100" w:afterAutospacing="1" w:line="240" w:lineRule="auto"/>
        <w:jc w:val="both"/>
      </w:pPr>
      <w:r>
        <w:lastRenderedPageBreak/>
        <w:t xml:space="preserve">Il presente comunicato costituisce anche comunicazione ai sensi dell’art. 6 del Regolamento Delegato (UE) 2016/1052. </w:t>
      </w:r>
      <w:bookmarkStart w:id="2" w:name="_Hlk106792248"/>
      <w:r w:rsidRPr="006A42EE">
        <w:t xml:space="preserve">Intesa Sanpaolo S.p.A. – IMI </w:t>
      </w:r>
      <w:r w:rsidRPr="006A42EE">
        <w:rPr>
          <w:i/>
          <w:iCs/>
        </w:rPr>
        <w:t>Corporate and Investment Banking</w:t>
      </w:r>
      <w:bookmarkEnd w:id="2"/>
      <w:r>
        <w:t xml:space="preserve">, quale agente per la stabilizzazione, si riserva la facoltà di effettuare attività di stabilizzazione sulle Azioni </w:t>
      </w:r>
      <w:proofErr w:type="spellStart"/>
      <w:r>
        <w:t>Generalfinance</w:t>
      </w:r>
      <w:proofErr w:type="spellEnd"/>
      <w:r>
        <w:t xml:space="preserve"> in ottemperanza alla normativa vigente. Tale attività potrà essere svolta dalla data di avvio delle negoziazioni su Euronext Milan (attesa per il </w:t>
      </w:r>
      <w:r w:rsidRPr="006A42EE">
        <w:t>29 giugno 2022</w:t>
      </w:r>
      <w:r>
        <w:t xml:space="preserve">) fino ai 30 giorni successivi a tale data. Non vi è comunque certezza che l’attività di stabilizzazione venga effettivamente esercitata. Tale attività, peraltro, potrà essere interrotta in qualsiasi momento. Le operazioni di stabilizzazione, se intraprese, potrebbero determinare un prezzo di mercato superiore al prezzo che verrebbe altrimenti a prevalere. Le operazioni di stabilizzazione mirano a sostenere il prezzo di mercato delle Azioni </w:t>
      </w:r>
      <w:proofErr w:type="spellStart"/>
      <w:r>
        <w:t>Generalfinance</w:t>
      </w:r>
      <w:proofErr w:type="spellEnd"/>
      <w:r>
        <w:t xml:space="preserve"> durante il periodo di stabilizzazione e si svolgeranno su Euronext Milan.</w:t>
      </w:r>
    </w:p>
    <w:p w14:paraId="3BB0FE2C" w14:textId="77777777" w:rsidR="00D953F0" w:rsidRPr="006A42EE" w:rsidRDefault="00DC6263" w:rsidP="008B765D">
      <w:pPr>
        <w:keepNext/>
        <w:keepLines/>
        <w:spacing w:after="0" w:line="240" w:lineRule="auto"/>
        <w:jc w:val="center"/>
      </w:pPr>
      <w:r w:rsidRPr="006A42EE">
        <w:t>***</w:t>
      </w:r>
    </w:p>
    <w:p w14:paraId="1013AB63" w14:textId="77777777" w:rsidR="00D953F0" w:rsidRPr="006A42EE" w:rsidRDefault="00DC6263" w:rsidP="008B765D">
      <w:pPr>
        <w:keepNext/>
        <w:keepLines/>
        <w:spacing w:after="100" w:afterAutospacing="1" w:line="240" w:lineRule="auto"/>
      </w:pPr>
      <w:r w:rsidRPr="006A42EE">
        <w:t>Il comunicato stampa è disponibile nella sezione “</w:t>
      </w:r>
      <w:r w:rsidR="00CF3A50" w:rsidRPr="00CF3A50">
        <w:rPr>
          <w:i/>
          <w:iCs/>
        </w:rPr>
        <w:t>Investor Relations - IPO</w:t>
      </w:r>
      <w:r w:rsidRPr="006A42EE">
        <w:t xml:space="preserve">” del sito </w:t>
      </w:r>
      <w:hyperlink r:id="rId12" w:history="1">
        <w:r w:rsidRPr="006A42EE">
          <w:rPr>
            <w:rStyle w:val="Collegamentoipertestuale"/>
          </w:rPr>
          <w:t>www.generalfinance.it</w:t>
        </w:r>
      </w:hyperlink>
      <w:r w:rsidRPr="006A42EE">
        <w:t xml:space="preserve">. </w:t>
      </w:r>
    </w:p>
    <w:p w14:paraId="5DA2C0CA" w14:textId="77777777" w:rsidR="00D953F0" w:rsidRPr="006A42EE" w:rsidRDefault="00DC6263" w:rsidP="008B765D">
      <w:pPr>
        <w:keepNext/>
        <w:keepLines/>
        <w:spacing w:after="0" w:line="240" w:lineRule="auto"/>
        <w:jc w:val="center"/>
      </w:pPr>
      <w:r w:rsidRPr="006A42EE">
        <w:t>***</w:t>
      </w:r>
    </w:p>
    <w:p w14:paraId="47CAFEB1" w14:textId="77777777" w:rsidR="00D953F0" w:rsidRPr="006A42EE" w:rsidRDefault="00DC6263" w:rsidP="008B765D">
      <w:pPr>
        <w:keepNext/>
        <w:keepLines/>
        <w:spacing w:line="240" w:lineRule="auto"/>
        <w:jc w:val="both"/>
        <w:rPr>
          <w:b/>
          <w:i/>
          <w:sz w:val="28"/>
        </w:rPr>
      </w:pPr>
      <w:r w:rsidRPr="006A42EE">
        <w:rPr>
          <w:b/>
          <w:color w:val="538135"/>
          <w:sz w:val="28"/>
        </w:rPr>
        <w:t>GENERALFINANCE</w:t>
      </w:r>
    </w:p>
    <w:p w14:paraId="5199A910" w14:textId="77777777" w:rsidR="00D953F0" w:rsidRPr="006A42EE" w:rsidRDefault="00DC6263" w:rsidP="008B765D">
      <w:pPr>
        <w:keepNext/>
        <w:keepLines/>
        <w:spacing w:after="100" w:afterAutospacing="1" w:line="240" w:lineRule="auto"/>
        <w:jc w:val="both"/>
      </w:pPr>
      <w:proofErr w:type="spellStart"/>
      <w:r w:rsidRPr="006A42EE">
        <w:t>Generalfinance</w:t>
      </w:r>
      <w:proofErr w:type="spellEnd"/>
      <w:r w:rsidRPr="006A42EE">
        <w:t xml:space="preserve"> è un intermediario finanziario, iscritto nell’albo degli intermediari finanziari di cui all’articolo 106 del </w:t>
      </w:r>
      <w:r w:rsidRPr="004A7C06">
        <w:t>TUB (c.d.</w:t>
      </w:r>
      <w:r w:rsidRPr="006A42EE">
        <w:t xml:space="preserve"> “</w:t>
      </w:r>
      <w:r w:rsidRPr="006A42EE">
        <w:rPr>
          <w:b/>
          <w:bCs/>
        </w:rPr>
        <w:t>Albo Unico</w:t>
      </w:r>
      <w:r w:rsidRPr="006A42EE">
        <w:t xml:space="preserve">”), specializzato nell’attività di </w:t>
      </w:r>
      <w:r w:rsidRPr="006A42EE">
        <w:rPr>
          <w:i/>
          <w:iCs/>
        </w:rPr>
        <w:t>factoring</w:t>
      </w:r>
      <w:r w:rsidRPr="006A42EE">
        <w:t xml:space="preserve">, sia in modalità </w:t>
      </w:r>
      <w:r w:rsidRPr="006A42EE">
        <w:rPr>
          <w:i/>
          <w:iCs/>
        </w:rPr>
        <w:t>pro solvendo</w:t>
      </w:r>
      <w:r w:rsidRPr="006A42EE">
        <w:t xml:space="preserve"> che in modalità </w:t>
      </w:r>
      <w:r w:rsidRPr="006A42EE">
        <w:rPr>
          <w:i/>
          <w:iCs/>
        </w:rPr>
        <w:t>pro soluto</w:t>
      </w:r>
      <w:r w:rsidRPr="006A42EE">
        <w:t xml:space="preserve">. </w:t>
      </w:r>
    </w:p>
    <w:p w14:paraId="0EF79FB6" w14:textId="77777777" w:rsidR="00D953F0" w:rsidRPr="006A42EE" w:rsidRDefault="00DC6263" w:rsidP="008B765D">
      <w:pPr>
        <w:keepNext/>
        <w:keepLines/>
        <w:spacing w:after="100" w:afterAutospacing="1" w:line="240" w:lineRule="auto"/>
        <w:jc w:val="both"/>
      </w:pPr>
      <w:r w:rsidRPr="006A42EE">
        <w:t xml:space="preserve">L’Emittente è attivo in Italia e opera esclusivamente con cedenti italiani attraverso le sedi di Milano (sede legale) e Biella (Direzione Generale). </w:t>
      </w:r>
    </w:p>
    <w:p w14:paraId="4CB6B4E0" w14:textId="77777777" w:rsidR="00D953F0" w:rsidRPr="006A42EE" w:rsidRDefault="00DC6263" w:rsidP="008B765D">
      <w:pPr>
        <w:keepNext/>
        <w:keepLines/>
        <w:spacing w:line="240" w:lineRule="auto"/>
        <w:jc w:val="both"/>
        <w:rPr>
          <w:b/>
          <w:i/>
          <w:sz w:val="28"/>
        </w:rPr>
      </w:pPr>
      <w:r w:rsidRPr="006A42EE">
        <w:rPr>
          <w:b/>
          <w:color w:val="538135"/>
          <w:sz w:val="28"/>
        </w:rPr>
        <w:t>CONTATTI</w:t>
      </w:r>
    </w:p>
    <w:p w14:paraId="1845D237" w14:textId="77777777" w:rsidR="00D953F0" w:rsidRPr="006A42EE" w:rsidRDefault="00D953F0" w:rsidP="008B765D">
      <w:pPr>
        <w:keepNext/>
        <w:keepLines/>
        <w:spacing w:line="240" w:lineRule="auto"/>
        <w:rPr>
          <w:b/>
          <w:i/>
          <w:sz w:val="24"/>
        </w:rPr>
      </w:pPr>
    </w:p>
    <w:p w14:paraId="499E3D7B" w14:textId="77777777" w:rsidR="00D953F0" w:rsidRPr="006A42EE" w:rsidRDefault="00DC6263" w:rsidP="008B765D">
      <w:pPr>
        <w:keepNext/>
        <w:keepLines/>
        <w:spacing w:line="240" w:lineRule="auto"/>
        <w:rPr>
          <w:b/>
          <w:i/>
        </w:rPr>
      </w:pPr>
      <w:proofErr w:type="spellStart"/>
      <w:r w:rsidRPr="006A42EE">
        <w:rPr>
          <w:b/>
          <w:i/>
        </w:rPr>
        <w:t>Generalfinance</w:t>
      </w:r>
      <w:proofErr w:type="spellEnd"/>
      <w:r w:rsidRPr="006A42EE">
        <w:rPr>
          <w:b/>
          <w:i/>
        </w:rPr>
        <w:t xml:space="preserve"> S.p.A.</w:t>
      </w:r>
    </w:p>
    <w:p w14:paraId="56A965AF" w14:textId="77777777" w:rsidR="00D953F0" w:rsidRPr="005D72A9" w:rsidRDefault="00DC6263" w:rsidP="008B765D">
      <w:pPr>
        <w:keepNext/>
        <w:keepLines/>
        <w:spacing w:line="240" w:lineRule="auto"/>
        <w:rPr>
          <w:i/>
          <w:lang w:val="en-US"/>
        </w:rPr>
      </w:pPr>
      <w:r w:rsidRPr="005D72A9">
        <w:rPr>
          <w:i/>
          <w:lang w:val="en-US"/>
        </w:rPr>
        <w:t>Chief Financial Officer - Investor Relations</w:t>
      </w:r>
    </w:p>
    <w:p w14:paraId="3BAEC7C9" w14:textId="77777777" w:rsidR="00D953F0" w:rsidRPr="005D72A9" w:rsidRDefault="00DC6263" w:rsidP="008B765D">
      <w:pPr>
        <w:keepNext/>
        <w:keepLines/>
        <w:spacing w:line="240" w:lineRule="auto"/>
        <w:rPr>
          <w:b/>
          <w:i/>
          <w:lang w:val="en-US"/>
        </w:rPr>
      </w:pPr>
      <w:r w:rsidRPr="005D72A9">
        <w:rPr>
          <w:lang w:val="en-US"/>
        </w:rPr>
        <w:t>Ugo Colombo</w:t>
      </w:r>
      <w:r w:rsidRPr="005D72A9">
        <w:rPr>
          <w:i/>
          <w:lang w:val="en-US"/>
        </w:rPr>
        <w:t xml:space="preserve"> </w:t>
      </w:r>
      <w:r w:rsidRPr="005D72A9">
        <w:rPr>
          <w:lang w:val="en-US"/>
        </w:rPr>
        <w:t>|</w:t>
      </w:r>
      <w:hyperlink r:id="rId13" w:history="1">
        <w:r w:rsidRPr="005D72A9">
          <w:rPr>
            <w:rStyle w:val="Collegamentoipertestuale"/>
            <w:lang w:val="en-US"/>
          </w:rPr>
          <w:t>u.colombo@generalfinance.it</w:t>
        </w:r>
      </w:hyperlink>
      <w:r w:rsidRPr="005D72A9">
        <w:rPr>
          <w:i/>
          <w:lang w:val="en-US"/>
        </w:rPr>
        <w:t xml:space="preserve"> </w:t>
      </w:r>
      <w:r w:rsidRPr="005D72A9">
        <w:rPr>
          <w:lang w:val="en-US"/>
        </w:rPr>
        <w:t>|+ 39 3355761968</w:t>
      </w:r>
    </w:p>
    <w:p w14:paraId="3B33425C" w14:textId="77777777" w:rsidR="00D953F0" w:rsidRPr="005D72A9" w:rsidRDefault="00D953F0" w:rsidP="008B765D">
      <w:pPr>
        <w:keepNext/>
        <w:keepLines/>
        <w:spacing w:line="240" w:lineRule="auto"/>
        <w:rPr>
          <w:b/>
          <w:i/>
          <w:lang w:val="en-US"/>
        </w:rPr>
      </w:pPr>
    </w:p>
    <w:p w14:paraId="3885A32E" w14:textId="77777777" w:rsidR="00D953F0" w:rsidRPr="006A42EE" w:rsidRDefault="00DC6263" w:rsidP="008B765D">
      <w:pPr>
        <w:keepNext/>
        <w:keepLines/>
        <w:spacing w:line="240" w:lineRule="auto"/>
        <w:rPr>
          <w:b/>
          <w:i/>
        </w:rPr>
      </w:pPr>
      <w:r w:rsidRPr="006A42EE">
        <w:rPr>
          <w:b/>
          <w:i/>
        </w:rPr>
        <w:t>Comin &amp; Partners</w:t>
      </w:r>
    </w:p>
    <w:p w14:paraId="79D1FACB" w14:textId="77777777" w:rsidR="00D953F0" w:rsidRPr="006A42EE" w:rsidRDefault="00DC6263" w:rsidP="008B765D">
      <w:pPr>
        <w:keepNext/>
        <w:keepLines/>
        <w:spacing w:line="240" w:lineRule="auto"/>
        <w:rPr>
          <w:rStyle w:val="hps"/>
          <w:color w:val="222222"/>
        </w:rPr>
      </w:pPr>
      <w:r w:rsidRPr="006A42EE">
        <w:rPr>
          <w:rStyle w:val="hps"/>
          <w:color w:val="222222"/>
        </w:rPr>
        <w:t xml:space="preserve">Lelio Alfonso | </w:t>
      </w:r>
      <w:hyperlink r:id="rId14" w:history="1">
        <w:r w:rsidRPr="006A42EE">
          <w:rPr>
            <w:rStyle w:val="Collegamentoipertestuale"/>
          </w:rPr>
          <w:t>lelio.alfonso@cominandpartners.com</w:t>
        </w:r>
      </w:hyperlink>
      <w:r w:rsidRPr="006A42EE">
        <w:rPr>
          <w:rStyle w:val="hps"/>
          <w:color w:val="222222"/>
        </w:rPr>
        <w:t xml:space="preserve"> | + 39 3346054090 </w:t>
      </w:r>
    </w:p>
    <w:p w14:paraId="078F2AD8" w14:textId="77777777" w:rsidR="00D953F0" w:rsidRPr="006A42EE" w:rsidRDefault="00DC6263" w:rsidP="008B765D">
      <w:pPr>
        <w:keepNext/>
        <w:keepLines/>
        <w:spacing w:line="240" w:lineRule="auto"/>
        <w:rPr>
          <w:b/>
          <w:i/>
        </w:rPr>
      </w:pPr>
      <w:r w:rsidRPr="006A42EE">
        <w:rPr>
          <w:rStyle w:val="hps"/>
          <w:color w:val="222222"/>
        </w:rPr>
        <w:t xml:space="preserve">Tommaso </w:t>
      </w:r>
      <w:proofErr w:type="spellStart"/>
      <w:r w:rsidRPr="006A42EE">
        <w:rPr>
          <w:rStyle w:val="hps"/>
          <w:color w:val="222222"/>
        </w:rPr>
        <w:t>Accomanno</w:t>
      </w:r>
      <w:proofErr w:type="spellEnd"/>
      <w:r w:rsidRPr="006A42EE">
        <w:rPr>
          <w:rStyle w:val="hps"/>
          <w:color w:val="222222"/>
        </w:rPr>
        <w:t xml:space="preserve"> | </w:t>
      </w:r>
      <w:hyperlink r:id="rId15" w:history="1">
        <w:r w:rsidRPr="006A42EE">
          <w:rPr>
            <w:rStyle w:val="Collegamentoipertestuale"/>
          </w:rPr>
          <w:t>tommaso.accomanno@cominandpartners.com</w:t>
        </w:r>
      </w:hyperlink>
      <w:r w:rsidRPr="006A42EE">
        <w:rPr>
          <w:rStyle w:val="hps"/>
          <w:color w:val="222222"/>
        </w:rPr>
        <w:t xml:space="preserve"> | + 39 3407701750</w:t>
      </w:r>
    </w:p>
    <w:p w14:paraId="1A6B65EE" w14:textId="77777777" w:rsidR="00D953F0" w:rsidRPr="00EC07B5" w:rsidRDefault="00DC6263" w:rsidP="008B765D">
      <w:pPr>
        <w:keepNext/>
        <w:keepLines/>
        <w:spacing w:line="240" w:lineRule="auto"/>
        <w:jc w:val="center"/>
        <w:rPr>
          <w:b/>
          <w:lang w:val="en-US"/>
        </w:rPr>
      </w:pPr>
      <w:r w:rsidRPr="00EC07B5">
        <w:rPr>
          <w:b/>
          <w:lang w:val="en-US"/>
        </w:rPr>
        <w:t>***</w:t>
      </w:r>
    </w:p>
    <w:p w14:paraId="25321D8D" w14:textId="77777777" w:rsidR="00D953F0" w:rsidRPr="00EC07B5" w:rsidRDefault="00DC6263" w:rsidP="008B765D">
      <w:pPr>
        <w:keepNext/>
        <w:keepLines/>
        <w:spacing w:after="100" w:afterAutospacing="1" w:line="240" w:lineRule="auto"/>
        <w:jc w:val="both"/>
        <w:rPr>
          <w:b/>
          <w:i/>
          <w:smallCaps/>
          <w:u w:val="single"/>
          <w:lang w:val="en-US"/>
        </w:rPr>
      </w:pPr>
      <w:r w:rsidRPr="00EC07B5">
        <w:rPr>
          <w:b/>
          <w:i/>
          <w:smallCaps/>
          <w:u w:val="single"/>
          <w:lang w:val="en-US"/>
        </w:rPr>
        <w:t>Disclaimer</w:t>
      </w:r>
    </w:p>
    <w:p w14:paraId="0EA465A5" w14:textId="77777777" w:rsidR="00260DB4" w:rsidRPr="00260DB4" w:rsidRDefault="00DC6263" w:rsidP="008B765D">
      <w:pPr>
        <w:keepNext/>
        <w:keepLines/>
        <w:spacing w:after="100" w:afterAutospacing="1" w:line="240" w:lineRule="auto"/>
        <w:jc w:val="both"/>
        <w:rPr>
          <w:i/>
          <w:lang w:val="en-GB"/>
        </w:rPr>
      </w:pPr>
      <w:r w:rsidRPr="00260DB4">
        <w:rPr>
          <w:i/>
          <w:lang w:val="en-GB"/>
        </w:rPr>
        <w:t xml:space="preserve">This announcement does not constitute, nor can it be intended as an offer, an invitation or a solicitation to purchase, subscribe, sell or exchange any of the shares or other securities issued or to be issued by </w:t>
      </w:r>
      <w:proofErr w:type="spellStart"/>
      <w:r w:rsidRPr="00260DB4">
        <w:rPr>
          <w:i/>
          <w:lang w:val="en-GB"/>
        </w:rPr>
        <w:t>Generalfinance</w:t>
      </w:r>
      <w:proofErr w:type="spellEnd"/>
      <w:r w:rsidRPr="00260DB4">
        <w:rPr>
          <w:i/>
          <w:lang w:val="en-GB"/>
        </w:rPr>
        <w:t xml:space="preserve"> S.p.A. (“</w:t>
      </w:r>
      <w:proofErr w:type="spellStart"/>
      <w:r w:rsidRPr="00260DB4">
        <w:rPr>
          <w:b/>
          <w:bCs/>
          <w:i/>
          <w:lang w:val="en-GB"/>
        </w:rPr>
        <w:t>Generalfinance</w:t>
      </w:r>
      <w:proofErr w:type="spellEnd"/>
      <w:r w:rsidRPr="00260DB4">
        <w:rPr>
          <w:i/>
          <w:lang w:val="en-GB"/>
        </w:rPr>
        <w:t>”</w:t>
      </w:r>
      <w:r>
        <w:rPr>
          <w:i/>
          <w:lang w:val="en-GB"/>
        </w:rPr>
        <w:t>, the “</w:t>
      </w:r>
      <w:r>
        <w:rPr>
          <w:b/>
          <w:bCs/>
          <w:i/>
          <w:lang w:val="en-GB"/>
        </w:rPr>
        <w:t>Company</w:t>
      </w:r>
      <w:r>
        <w:rPr>
          <w:i/>
          <w:lang w:val="en-GB"/>
        </w:rPr>
        <w:t>” or the “</w:t>
      </w:r>
      <w:r>
        <w:rPr>
          <w:b/>
          <w:bCs/>
          <w:i/>
          <w:lang w:val="en-GB"/>
        </w:rPr>
        <w:t>Issuer</w:t>
      </w:r>
      <w:r>
        <w:rPr>
          <w:i/>
          <w:lang w:val="en-GB"/>
        </w:rPr>
        <w:t>”</w:t>
      </w:r>
      <w:r w:rsidRPr="00260DB4">
        <w:rPr>
          <w:i/>
          <w:lang w:val="en-GB"/>
        </w:rPr>
        <w:t xml:space="preserve">). This announcement is an “advertisement” pursuant to the Regulation (EU) 2017/1129 (as amended and implemented), as well as the Italian Legislative Decree No. 58 of February 24, 1998 (as amended) and the CONSOB Regulation No. 11971/1999 (as amended). </w:t>
      </w:r>
    </w:p>
    <w:p w14:paraId="53DC1FFD" w14:textId="77777777" w:rsidR="00D407EA" w:rsidRDefault="00DC6263" w:rsidP="008B765D">
      <w:pPr>
        <w:keepNext/>
        <w:keepLines/>
        <w:widowControl w:val="0"/>
        <w:spacing w:after="100" w:afterAutospacing="1" w:line="240" w:lineRule="auto"/>
        <w:jc w:val="both"/>
        <w:rPr>
          <w:i/>
          <w:lang w:val="en-GB"/>
        </w:rPr>
      </w:pPr>
      <w:r w:rsidRPr="00260DB4">
        <w:rPr>
          <w:i/>
          <w:lang w:val="en-GB"/>
        </w:rPr>
        <w:t xml:space="preserve">With respect to the admission to listing and trading in Italy of </w:t>
      </w:r>
      <w:proofErr w:type="spellStart"/>
      <w:r w:rsidRPr="00260DB4">
        <w:rPr>
          <w:i/>
          <w:lang w:val="en-GB"/>
        </w:rPr>
        <w:t>Generalfinance’s</w:t>
      </w:r>
      <w:proofErr w:type="spellEnd"/>
      <w:r w:rsidRPr="00260DB4">
        <w:rPr>
          <w:i/>
          <w:lang w:val="en-GB"/>
        </w:rPr>
        <w:t xml:space="preserve"> ordinary shares</w:t>
      </w:r>
      <w:r>
        <w:rPr>
          <w:i/>
          <w:lang w:val="en-GB"/>
        </w:rPr>
        <w:t xml:space="preserve"> (the “</w:t>
      </w:r>
      <w:r>
        <w:rPr>
          <w:b/>
          <w:bCs/>
          <w:i/>
          <w:lang w:val="en-GB"/>
        </w:rPr>
        <w:t>Shares</w:t>
      </w:r>
      <w:r>
        <w:rPr>
          <w:i/>
          <w:lang w:val="en-GB"/>
        </w:rPr>
        <w:t>”)</w:t>
      </w:r>
      <w:r w:rsidRPr="00260DB4">
        <w:rPr>
          <w:i/>
          <w:lang w:val="en-GB"/>
        </w:rPr>
        <w:t xml:space="preserve">, a prospectus was published pursuant to the abovementioned Regulation (EU) 2017/1129, approved by CONSOB on </w:t>
      </w:r>
      <w:r>
        <w:rPr>
          <w:i/>
          <w:lang w:val="en-GB"/>
        </w:rPr>
        <w:t>15 June 2022</w:t>
      </w:r>
      <w:r w:rsidRPr="00260DB4">
        <w:rPr>
          <w:i/>
          <w:lang w:val="en-GB"/>
        </w:rPr>
        <w:t xml:space="preserve"> (the “</w:t>
      </w:r>
      <w:r w:rsidRPr="00260DB4">
        <w:rPr>
          <w:b/>
          <w:bCs/>
          <w:i/>
          <w:lang w:val="en-GB"/>
        </w:rPr>
        <w:t>Prospectus</w:t>
      </w:r>
      <w:r w:rsidRPr="00260DB4">
        <w:rPr>
          <w:i/>
          <w:lang w:val="en-GB"/>
        </w:rPr>
        <w:t xml:space="preserve">”). The Prospectus is available for consultation, among others, at </w:t>
      </w:r>
      <w:r>
        <w:rPr>
          <w:i/>
          <w:lang w:val="en-GB"/>
        </w:rPr>
        <w:t xml:space="preserve">the Company’s website </w:t>
      </w:r>
      <w:hyperlink r:id="rId16" w:history="1">
        <w:r w:rsidRPr="000E12FC">
          <w:rPr>
            <w:rStyle w:val="Collegamentoipertestuale"/>
            <w:i/>
            <w:lang w:val="en-GB"/>
          </w:rPr>
          <w:t>www.generalfinance.it</w:t>
        </w:r>
      </w:hyperlink>
      <w:r w:rsidR="00D953F0" w:rsidRPr="00EC07B5">
        <w:rPr>
          <w:i/>
          <w:lang w:val="en-GB"/>
        </w:rPr>
        <w:t>.</w:t>
      </w:r>
      <w:r>
        <w:rPr>
          <w:i/>
          <w:lang w:val="en-GB"/>
        </w:rPr>
        <w:t xml:space="preserve"> </w:t>
      </w:r>
    </w:p>
    <w:p w14:paraId="3EC41DD4" w14:textId="77777777" w:rsidR="00D953F0" w:rsidRPr="00EC07B5" w:rsidRDefault="00DC6263" w:rsidP="008B765D">
      <w:pPr>
        <w:keepNext/>
        <w:keepLines/>
        <w:widowControl w:val="0"/>
        <w:spacing w:after="100" w:afterAutospacing="1" w:line="240" w:lineRule="auto"/>
        <w:jc w:val="both"/>
        <w:rPr>
          <w:i/>
          <w:lang w:val="en-GB"/>
        </w:rPr>
      </w:pPr>
      <w:r w:rsidRPr="00EC07B5">
        <w:rPr>
          <w:i/>
          <w:lang w:val="en-GB"/>
        </w:rPr>
        <w:lastRenderedPageBreak/>
        <w:t>This document is for distribution only to, and is only addressed to and is directed at (a) persons that have professional experience in matters relating to investments falling “investment professionals” within the meaning of Article 19(5) of the Financial Services and Markets Act 2000 (Financial Promotion) Order 2005 (as amended, the “</w:t>
      </w:r>
      <w:r w:rsidRPr="00EC07B5">
        <w:rPr>
          <w:b/>
          <w:i/>
          <w:lang w:val="en-GB"/>
        </w:rPr>
        <w:t>Financial Promotion Order</w:t>
      </w:r>
      <w:r w:rsidRPr="00EC07B5">
        <w:rPr>
          <w:i/>
          <w:lang w:val="en-GB"/>
        </w:rPr>
        <w:t>”), (b) persons falling within Article 49(2)(a) to (d) (“high net worth companies, unincorporated associations etc.”) of the Financial Promotion Order, (c) persons that are outside the United Kingdom, and (d) persons to whom an invitation or inducement to engage in investment activity (within the meaning of section 21 of the Financial Services and Markets Act 2000) in connection with the issue or sale of any securities may otherwise lawfully be communicated or caused to be communicated (all such persons together being referred to as “relevant persons”). This document is directed only at relevant persons and must not be acted on or relied on by persons who are not relevant persons. Any investment or investment activity to which this document relates is available only to relevant persons and will be engaged in only with relevant persons and any person who is not a relevant person should not act or rely on this document or any of its contents and any person who is not a relevant person should not act or rely on this document or any of its contents.</w:t>
      </w:r>
    </w:p>
    <w:p w14:paraId="04B91D98" w14:textId="77777777" w:rsidR="00D953F0" w:rsidRPr="00EC07B5" w:rsidRDefault="00DC6263" w:rsidP="008B765D">
      <w:pPr>
        <w:keepNext/>
        <w:keepLines/>
        <w:spacing w:after="100" w:afterAutospacing="1" w:line="240" w:lineRule="auto"/>
        <w:jc w:val="both"/>
        <w:rPr>
          <w:i/>
          <w:lang w:val="en-GB"/>
        </w:rPr>
      </w:pPr>
      <w:r w:rsidRPr="00EC07B5">
        <w:rPr>
          <w:i/>
          <w:lang w:val="en-GB"/>
        </w:rPr>
        <w:t>In addition, this document does not constitute an offer of the securities to the public in the United Kingdom. No prospectus has been or will be approved in the United Kingdom in respect of the securities. This document is for distribution only to and is only addressed to and is directed at (a) persons who are outside the United Kingdom or (b) persons inside the United Kingdom that are qualified investors within the meaning of Article 2(e) of the Prospectus Regulation (as forms part of retained EU law by virtue of the European Union (Withdrawal) Act 2018) on the prospectus to be published when securities are offered to the public or admitted to trading on a regulated market, as amended and supplemented from time to time.</w:t>
      </w:r>
    </w:p>
    <w:p w14:paraId="4CB0FFF3" w14:textId="77777777" w:rsidR="00D953F0" w:rsidRPr="00EC07B5" w:rsidRDefault="00DC6263" w:rsidP="008B765D">
      <w:pPr>
        <w:keepNext/>
        <w:keepLines/>
        <w:spacing w:after="100" w:afterAutospacing="1" w:line="240" w:lineRule="auto"/>
        <w:jc w:val="both"/>
        <w:rPr>
          <w:i/>
          <w:lang w:val="en-GB"/>
        </w:rPr>
      </w:pPr>
      <w:r w:rsidRPr="00EC07B5">
        <w:rPr>
          <w:i/>
          <w:lang w:val="en-GB"/>
        </w:rPr>
        <w:t>This document has been prepared on the basis that any offer of Securities in any Member State of the European Economic Area (“</w:t>
      </w:r>
      <w:r w:rsidRPr="00EC07B5">
        <w:rPr>
          <w:b/>
          <w:i/>
          <w:lang w:val="en-GB"/>
        </w:rPr>
        <w:t>EEA</w:t>
      </w:r>
      <w:r w:rsidRPr="00EC07B5">
        <w:rPr>
          <w:i/>
          <w:lang w:val="en-GB"/>
        </w:rPr>
        <w:t xml:space="preserve">”) will be made pursuant to an exemption under the Prospectus Regulation from the requirement to publish a prospectus for offers of Securities. Accordingly any person making or intending to make an offer in a Member State of Securities which are the subject of the offering contemplated in this document, other than the permitted public offers, may only do so in circumstances in which no obligation arises for the Issuer or any of the underwriters to publish a prospectus pursuant to Article 3 of the Prospectus Regulation or supplement a prospectus pursuant to Article 23 of the Prospectus Regulation, in each case, in relation to such offer. Neither the Issuer nor any of Banca Akros S.p.A., Intesa Sanpaolo S.p.A., </w:t>
      </w:r>
      <w:proofErr w:type="spellStart"/>
      <w:r w:rsidRPr="00EC07B5">
        <w:rPr>
          <w:i/>
          <w:lang w:val="en-GB"/>
        </w:rPr>
        <w:t>Ceresio</w:t>
      </w:r>
      <w:proofErr w:type="spellEnd"/>
      <w:r w:rsidRPr="00EC07B5">
        <w:rPr>
          <w:i/>
          <w:lang w:val="en-GB"/>
        </w:rPr>
        <w:t xml:space="preserve"> SIM S.p.A.</w:t>
      </w:r>
      <w:r>
        <w:rPr>
          <w:i/>
          <w:lang w:val="en-GB"/>
        </w:rPr>
        <w:t xml:space="preserve"> and Invest Italy SIM S.p.A.</w:t>
      </w:r>
      <w:r w:rsidRPr="00EC07B5">
        <w:rPr>
          <w:i/>
          <w:lang w:val="en-GB"/>
        </w:rPr>
        <w:t xml:space="preserve"> (collectively, the “</w:t>
      </w:r>
      <w:r w:rsidRPr="00EC07B5">
        <w:rPr>
          <w:b/>
          <w:i/>
          <w:lang w:val="en-GB"/>
        </w:rPr>
        <w:t>Managers</w:t>
      </w:r>
      <w:r w:rsidRPr="00EC07B5">
        <w:rPr>
          <w:i/>
          <w:lang w:val="en-GB"/>
        </w:rPr>
        <w:t>”) have authorised, nor do they authorise, the making of any offer of the Securities through any financial intermediary, other than offers made by the Managers, which constitute the final placement of the Securities contemplated in this document. Neither the Issuer nor any of the Managers have authorised, nor do they authorise, the making of any offer of Securities in circumstances in which an obligation arises for the Issuer or the Managers to publish or supplement a prospectus for such offer.</w:t>
      </w:r>
    </w:p>
    <w:p w14:paraId="3D57DBCD" w14:textId="77777777" w:rsidR="00D953F0" w:rsidRPr="00EC07B5" w:rsidRDefault="00DC6263" w:rsidP="008B765D">
      <w:pPr>
        <w:keepNext/>
        <w:keepLines/>
        <w:spacing w:after="100" w:afterAutospacing="1" w:line="240" w:lineRule="auto"/>
        <w:jc w:val="both"/>
        <w:rPr>
          <w:i/>
          <w:lang w:val="en-GB"/>
        </w:rPr>
      </w:pPr>
      <w:r w:rsidRPr="004E01BA">
        <w:rPr>
          <w:i/>
          <w:lang w:val="en-GB"/>
        </w:rPr>
        <w:t xml:space="preserve">This communication is an advertisement and not a prospectus </w:t>
      </w:r>
      <w:r w:rsidR="00822C51">
        <w:rPr>
          <w:i/>
          <w:lang w:val="en-GB"/>
        </w:rPr>
        <w:t xml:space="preserve">and </w:t>
      </w:r>
      <w:r w:rsidRPr="004E01BA">
        <w:rPr>
          <w:i/>
          <w:lang w:val="en-GB"/>
        </w:rPr>
        <w:t xml:space="preserve">does not constitute an offer of securities to the public in the United Kingdom or elsewhere. The offer to acquire shares pursuant to the Offering is made, and any investor should make his investment, solely on the basis of information that is contained in the </w:t>
      </w:r>
      <w:r w:rsidR="00822C51">
        <w:rPr>
          <w:i/>
          <w:lang w:val="en-GB"/>
        </w:rPr>
        <w:t>P</w:t>
      </w:r>
      <w:r w:rsidRPr="004E01BA">
        <w:rPr>
          <w:i/>
          <w:lang w:val="en-GB"/>
        </w:rPr>
        <w:t xml:space="preserve">rospectus published by the Company on </w:t>
      </w:r>
      <w:r>
        <w:rPr>
          <w:i/>
          <w:lang w:val="en-GB"/>
        </w:rPr>
        <w:t xml:space="preserve">its website </w:t>
      </w:r>
      <w:hyperlink r:id="rId17" w:history="1">
        <w:r w:rsidRPr="00EC07B5">
          <w:rPr>
            <w:rStyle w:val="Collegamentoipertestuale"/>
            <w:i/>
            <w:lang w:val="en-GB"/>
          </w:rPr>
          <w:t>www.generalfinance.it</w:t>
        </w:r>
      </w:hyperlink>
      <w:r w:rsidRPr="004E01BA">
        <w:rPr>
          <w:i/>
          <w:lang w:val="en-GB"/>
        </w:rPr>
        <w:t xml:space="preserve">. The Prospectus is available from </w:t>
      </w:r>
      <w:r>
        <w:rPr>
          <w:i/>
          <w:lang w:val="en-GB"/>
        </w:rPr>
        <w:t>16 June 2022</w:t>
      </w:r>
      <w:r w:rsidRPr="00EC07B5">
        <w:rPr>
          <w:i/>
          <w:lang w:val="en-GB"/>
        </w:rPr>
        <w:t xml:space="preserve">. </w:t>
      </w:r>
    </w:p>
    <w:p w14:paraId="6E982F19" w14:textId="77777777" w:rsidR="00D953F0" w:rsidRPr="00EC07B5" w:rsidRDefault="00DC6263" w:rsidP="008B765D">
      <w:pPr>
        <w:keepNext/>
        <w:keepLines/>
        <w:spacing w:after="100" w:afterAutospacing="1" w:line="240" w:lineRule="auto"/>
        <w:jc w:val="both"/>
        <w:rPr>
          <w:i/>
          <w:lang w:val="en-GB"/>
        </w:rPr>
      </w:pPr>
      <w:r w:rsidRPr="00EC07B5">
        <w:rPr>
          <w:i/>
          <w:lang w:val="en-GB"/>
        </w:rPr>
        <w:lastRenderedPageBreak/>
        <w:t>Solely for the purposes of the product governance requirements contained within: (a) EU Directive 2014/65/EU on Markets in Financial Instruments, as amended (“MiFID II”); (b) Articles 9 and 10 of Commission Delegated Directive (EUR) 2017/593 supplementing MiFID II; and (c) local implementing measures (together, the “</w:t>
      </w:r>
      <w:r w:rsidRPr="00EC07B5">
        <w:rPr>
          <w:b/>
          <w:i/>
          <w:lang w:val="en-GB"/>
        </w:rPr>
        <w:t>MiFID II Product Governance Requirements</w:t>
      </w:r>
      <w:r w:rsidRPr="00EC07B5">
        <w:rPr>
          <w:i/>
          <w:lang w:val="en-GB"/>
        </w:rPr>
        <w:t>”), and/or any equivalent requirements elsewhere to the extent determined to be applicable, and disclaiming all and any liability, whether arising in tort, contract or otherwise, which any “manufacturer” (for the purposes of the MiFID II product governance requirements) may otherwise have with respect thereto, the securities referred to herein have been subject to a product approval process, which has determined that, although the transaction is only addressed to investors who meet the criteria of professional clients and eligible counterparties (each as defined in MiFID II), such shares are: (</w:t>
      </w:r>
      <w:proofErr w:type="spellStart"/>
      <w:r w:rsidRPr="00EC07B5">
        <w:rPr>
          <w:i/>
          <w:lang w:val="en-GB"/>
        </w:rPr>
        <w:t>i</w:t>
      </w:r>
      <w:proofErr w:type="spellEnd"/>
      <w:r w:rsidRPr="00EC07B5">
        <w:rPr>
          <w:i/>
          <w:lang w:val="en-GB"/>
        </w:rPr>
        <w:t>) compatible with an end target market of retail investors and investors who meet the criteria of professional clients and eligible counterparties, each as defined in MiFID II; and (ii) eligible for distribution through all distribution channels as are permitted by MiFID II to such target market (the “</w:t>
      </w:r>
      <w:r w:rsidRPr="00EC07B5">
        <w:rPr>
          <w:b/>
          <w:i/>
          <w:lang w:val="en-GB"/>
        </w:rPr>
        <w:t>Target Market Assessment</w:t>
      </w:r>
      <w:r w:rsidRPr="00EC07B5">
        <w:rPr>
          <w:i/>
          <w:lang w:val="en-GB"/>
        </w:rPr>
        <w:t>”).</w:t>
      </w:r>
    </w:p>
    <w:p w14:paraId="5F53B3F0" w14:textId="77777777" w:rsidR="00D953F0" w:rsidRPr="00EC07B5" w:rsidRDefault="00DC6263" w:rsidP="008B765D">
      <w:pPr>
        <w:keepNext/>
        <w:keepLines/>
        <w:spacing w:after="100" w:afterAutospacing="1" w:line="240" w:lineRule="auto"/>
        <w:jc w:val="both"/>
        <w:rPr>
          <w:i/>
          <w:lang w:val="en-GB"/>
        </w:rPr>
      </w:pPr>
      <w:r w:rsidRPr="00EC07B5">
        <w:rPr>
          <w:i/>
          <w:lang w:val="en-GB"/>
        </w:rPr>
        <w:t>Notwithstanding the Target Market Assessment, distributors should note that: the price of the securities referred to herein may decline and investors could lose all or part of their investment; the shares offer no guaranteed income and no capital protection; and an investment in the shares is compatible only with investors who do not need a guaranteed income or capital protection, who (either alone or in conjunction with an appropriate financial or other adviser) are capable of evaluating the merits and risks of such an investment and who have sufficient resources to be able to bear any losses that may result therefrom. The Target Market Assessment is without prejudice to the requirements of any contractual, legal, or regulatory selling restrictions in relation to the transaction. Furthermore, it is noted that the Managers will only procure investors who meet the criteria of professional clients and eligible counterparties</w:t>
      </w:r>
      <w:r w:rsidRPr="00EC07B5">
        <w:rPr>
          <w:lang w:val="en-US"/>
        </w:rPr>
        <w:t xml:space="preserve"> </w:t>
      </w:r>
      <w:r w:rsidRPr="00EC07B5">
        <w:rPr>
          <w:i/>
          <w:lang w:val="en-GB"/>
        </w:rPr>
        <w:t>or to other investors, in such a way as to fall within the exemptions set out under Article 1(4)(d) of the Prospectus Regulation.</w:t>
      </w:r>
    </w:p>
    <w:p w14:paraId="292AE0B8" w14:textId="77777777" w:rsidR="00D953F0" w:rsidRPr="00EC07B5" w:rsidRDefault="00DC6263" w:rsidP="008B765D">
      <w:pPr>
        <w:keepNext/>
        <w:keepLines/>
        <w:spacing w:after="100" w:afterAutospacing="1" w:line="240" w:lineRule="auto"/>
        <w:jc w:val="both"/>
        <w:rPr>
          <w:i/>
          <w:lang w:val="en-GB"/>
        </w:rPr>
      </w:pPr>
      <w:r w:rsidRPr="00EC07B5">
        <w:rPr>
          <w:i/>
          <w:lang w:val="en-GB"/>
        </w:rPr>
        <w:t>For the avoidance of doubt, the Target Market Assessment does not constitute: (a) an assessment of suitability or appropriateness for the purposes of MiFID II; or (b) a recommendation to any investor or group of investors to invest in, or purchase, or take any other action whatsoever with respect to the shares. Any person subsequently offering, selling, or recommending the Notes (a “distributor”) should take into consideration the manufacturers’ Target Market Assessment. A distributor subject to MiFID II is responsible for undertaking its own target market assessment in respect of the shares (by either adopting or refining the manufacturers’ Target Market Assessment) and determining appropriate distribution channels.</w:t>
      </w:r>
    </w:p>
    <w:p w14:paraId="6CFBC736" w14:textId="77777777" w:rsidR="00D953F0" w:rsidRPr="00EC07B5" w:rsidRDefault="00DC6263" w:rsidP="008B765D">
      <w:pPr>
        <w:keepNext/>
        <w:keepLines/>
        <w:spacing w:after="100" w:afterAutospacing="1" w:line="240" w:lineRule="auto"/>
        <w:jc w:val="both"/>
        <w:rPr>
          <w:i/>
          <w:lang w:val="en-GB"/>
        </w:rPr>
      </w:pPr>
      <w:r w:rsidRPr="00EC07B5">
        <w:rPr>
          <w:i/>
          <w:lang w:val="en-GB"/>
        </w:rPr>
        <w:t>Each distributor is responsible for undertaking its own target market assessment in respect of the securities and determining appropriate distribution channels.</w:t>
      </w:r>
    </w:p>
    <w:p w14:paraId="121650B1" w14:textId="77777777" w:rsidR="00D953F0" w:rsidRPr="00EC07B5" w:rsidRDefault="00DC6263" w:rsidP="008B765D">
      <w:pPr>
        <w:keepNext/>
        <w:keepLines/>
        <w:spacing w:after="100" w:afterAutospacing="1" w:line="240" w:lineRule="auto"/>
        <w:jc w:val="both"/>
        <w:rPr>
          <w:i/>
          <w:lang w:val="en-GB"/>
        </w:rPr>
      </w:pPr>
      <w:r w:rsidRPr="00EC07B5">
        <w:rPr>
          <w:i/>
          <w:lang w:val="en-GB"/>
        </w:rPr>
        <w:t>This document is not an offer of securities for sale in the United States. Securities may not be offered or sold in the United States unless they are registered or are exempt from registration under the U.S. Securities Act of 1933, as amended (the "</w:t>
      </w:r>
      <w:r w:rsidRPr="00EC07B5">
        <w:rPr>
          <w:b/>
          <w:i/>
          <w:lang w:val="en-GB"/>
        </w:rPr>
        <w:t>U.S. Securities Act</w:t>
      </w:r>
      <w:r w:rsidRPr="00EC07B5">
        <w:rPr>
          <w:i/>
          <w:lang w:val="en-GB"/>
        </w:rPr>
        <w:t>"). The securities have not been and will not be registered under the U.S. Securities Act, and may not be offered, sold, pledged, or otherwise transferred in the United States absent registration under the U.S. Securities Act or an applicable exemption from the registration requirements of the U.S. Securities Act. The Company does not intend to register any portion of this Offering in the United States or to conduct an offering, public of otherwise, in the United States. Copies of this document are not being, and may not be, distributed in or sent into the United States. Any public offering of securities to be made in the United States would be made by means of a prospectus that could be obtained from the Company and would contain detailed information about the Company and management, as well as financial statements. There will be no public offering of the securities in the United States.</w:t>
      </w:r>
    </w:p>
    <w:p w14:paraId="7D224354" w14:textId="77777777" w:rsidR="00D953F0" w:rsidRPr="00EC07B5" w:rsidRDefault="00DC6263" w:rsidP="008B765D">
      <w:pPr>
        <w:keepNext/>
        <w:keepLines/>
        <w:spacing w:after="100" w:afterAutospacing="1" w:line="240" w:lineRule="auto"/>
        <w:jc w:val="both"/>
        <w:rPr>
          <w:i/>
          <w:lang w:val="en-GB"/>
        </w:rPr>
      </w:pPr>
      <w:r w:rsidRPr="00EC07B5">
        <w:rPr>
          <w:i/>
          <w:lang w:val="en-GB"/>
        </w:rPr>
        <w:t>It may be unlawful to distribute these materials in certain jurisdictions. These materials are not for distribution in Canada, Japan, or Australia. The information in these materials does not constitute an offer of securities for sale in Canada, Japan, or Australia.</w:t>
      </w:r>
    </w:p>
    <w:p w14:paraId="267DF417" w14:textId="77777777" w:rsidR="00D953F0" w:rsidRPr="00294134" w:rsidRDefault="00DC6263" w:rsidP="008B765D">
      <w:pPr>
        <w:keepNext/>
        <w:keepLines/>
        <w:spacing w:after="100" w:afterAutospacing="1" w:line="240" w:lineRule="auto"/>
        <w:jc w:val="both"/>
        <w:rPr>
          <w:i/>
          <w:lang w:val="en-GB"/>
        </w:rPr>
      </w:pPr>
      <w:r w:rsidRPr="00EC07B5">
        <w:rPr>
          <w:i/>
          <w:lang w:val="en-GB"/>
        </w:rPr>
        <w:lastRenderedPageBreak/>
        <w:t>The Managers are acting exclusively for the Company and/or the selling shareholders and no one else in connection with any offering of Shares. They will not regard any other person as their respective clients in relation to any offering of Shares and will not be responsible to anyone other than the Company and/or the selling shareholders for providing the protections afforded to their respective clients nor for providing advice in relation to any offering of Shares, the contents of this announcement or any transaction, arrangement or other matter referred to herein. None of the Managers or any of their respective subsidiary undertakings, affiliates or any of their respective directors, officers, employees, advisers, agents, alliance partners or any other entity or person accepts any responsibility or liability whatsoever for, or makes any representation, warranty or undertaking, express or implied, as to the truth, accuracy, completeness or fairness of the information or opinions in this announcement (or whether any information has been omitted from this announcement) or any other information relating to the Company or associated companies, whether written, oral or in a visual or electronic form, and howsoever transmitted or made available or for any loss howsoever arising from any use of this announcement or its contents or otherwise arising in connection therewith. Accordingly, the Managers and each of their respective subsidiary undertakings, affiliates or any of their respective directors, officers, employees, advisers, agents, alliance partners or any other entity or person disclaim, to the fullest extent permitted by applicable law, all and any liability, whether arising in tort or contract or that they might otherwise be found to have in respect of this announcement and/or any such statement. In connection with the offering of Shares, each of the Managers and any of their affiliates, may take up a portion of the Shares in the offering as a principal position and, in that capacity, may retain, purchase, sell, offer to sell for its own account such Shares and other securities of the Company or related investments in connection with the offering of Shares or otherwise. In addition, each of the Managers and any of their affiliates may enter into financing arrangements (including swaps, warrants, or contracts for differences) with investors in connection with which each of the Managers and any of their affiliates may from time to time acquire, hold, or dispose of Shares. None of the Managers or their affiliates intends to disclose the extent of any such investment or transactions otherwise than in accordance with any legal or regulatory obligations to do so.</w:t>
      </w:r>
    </w:p>
    <w:p w14:paraId="4909D286" w14:textId="77777777" w:rsidR="004A7C06" w:rsidRPr="00294134" w:rsidRDefault="004A7C06" w:rsidP="008B765D">
      <w:pPr>
        <w:keepNext/>
        <w:keepLines/>
        <w:spacing w:after="0" w:line="240" w:lineRule="auto"/>
        <w:jc w:val="center"/>
        <w:rPr>
          <w:i/>
          <w:lang w:val="en-GB"/>
        </w:rPr>
      </w:pPr>
    </w:p>
    <w:sectPr w:rsidR="004A7C06" w:rsidRPr="00294134" w:rsidSect="00EC07B5">
      <w:headerReference w:type="even" r:id="rId18"/>
      <w:headerReference w:type="default" r:id="rId19"/>
      <w:footerReference w:type="even" r:id="rId20"/>
      <w:footerReference w:type="default" r:id="rId21"/>
      <w:headerReference w:type="first" r:id="rId22"/>
      <w:footerReference w:type="first" r:id="rId23"/>
      <w:pgSz w:w="11906" w:h="16838"/>
      <w:pgMar w:top="284"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443F" w14:textId="77777777" w:rsidR="00270365" w:rsidRDefault="00270365">
      <w:pPr>
        <w:spacing w:after="0" w:line="240" w:lineRule="auto"/>
      </w:pPr>
      <w:r>
        <w:separator/>
      </w:r>
    </w:p>
  </w:endnote>
  <w:endnote w:type="continuationSeparator" w:id="0">
    <w:p w14:paraId="5ED30196" w14:textId="77777777" w:rsidR="00270365" w:rsidRDefault="00270365">
      <w:pPr>
        <w:spacing w:after="0" w:line="240" w:lineRule="auto"/>
      </w:pPr>
      <w:r>
        <w:continuationSeparator/>
      </w:r>
    </w:p>
  </w:endnote>
  <w:endnote w:type="continuationNotice" w:id="1">
    <w:p w14:paraId="33287503" w14:textId="77777777" w:rsidR="00270365" w:rsidRDefault="00270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EUAlbertina-Regular-Identity-H">
    <w:altName w:val="MS Gothic"/>
    <w:panose1 w:val="00000000000000000000"/>
    <w:charset w:val="80"/>
    <w:family w:val="auto"/>
    <w:notTrueType/>
    <w:pitch w:val="default"/>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CF49" w14:textId="77777777" w:rsidR="002C2531" w:rsidRDefault="002C253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9ADA" w14:textId="77777777" w:rsidR="002C2531" w:rsidRDefault="002C253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1E18" w14:textId="77777777" w:rsidR="002C2531" w:rsidRDefault="002C25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F2FC" w14:textId="77777777" w:rsidR="00270365" w:rsidRDefault="00270365" w:rsidP="00CA3086">
      <w:pPr>
        <w:spacing w:after="0" w:line="240" w:lineRule="auto"/>
      </w:pPr>
      <w:r>
        <w:separator/>
      </w:r>
    </w:p>
  </w:footnote>
  <w:footnote w:type="continuationSeparator" w:id="0">
    <w:p w14:paraId="57D576A1" w14:textId="77777777" w:rsidR="00270365" w:rsidRDefault="00270365" w:rsidP="00CA3086">
      <w:pPr>
        <w:spacing w:after="0" w:line="240" w:lineRule="auto"/>
      </w:pPr>
      <w:r>
        <w:continuationSeparator/>
      </w:r>
    </w:p>
  </w:footnote>
  <w:footnote w:type="continuationNotice" w:id="1">
    <w:p w14:paraId="0E30969F" w14:textId="77777777" w:rsidR="00270365" w:rsidRDefault="002703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2F9F" w14:textId="77777777" w:rsidR="002C2531" w:rsidRDefault="002C25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EE58" w14:textId="77777777" w:rsidR="007B76B6" w:rsidRDefault="00DC6263">
    <w:pPr>
      <w:pStyle w:val="Intestazione"/>
    </w:pPr>
    <w:r>
      <w:rPr>
        <w:noProof/>
      </w:rPr>
      <mc:AlternateContent>
        <mc:Choice Requires="wps">
          <w:drawing>
            <wp:anchor distT="0" distB="0" distL="114300" distR="114300" simplePos="0" relativeHeight="251658240" behindDoc="0" locked="0" layoutInCell="0" allowOverlap="1" wp14:anchorId="544E227C" wp14:editId="548DDFAA">
              <wp:simplePos x="0" y="0"/>
              <wp:positionH relativeFrom="page">
                <wp:posOffset>0</wp:posOffset>
              </wp:positionH>
              <wp:positionV relativeFrom="page">
                <wp:posOffset>190500</wp:posOffset>
              </wp:positionV>
              <wp:extent cx="7560310" cy="269240"/>
              <wp:effectExtent l="0" t="0" r="0" b="0"/>
              <wp:wrapNone/>
              <wp:docPr id="2" name="MSIPCM024a4fd5858da983efe8f8b6" descr="{&quot;HashCode&quot;:8039277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9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9BBDAC" w14:textId="28E14659" w:rsidR="00FF02A9" w:rsidRPr="00FF02A9" w:rsidRDefault="00FF02A9" w:rsidP="00FF02A9">
                          <w:pPr>
                            <w:spacing w:after="0"/>
                            <w:jc w:val="right"/>
                            <w:rPr>
                              <w:rFonts w:ascii="Century" w:hAnsi="Century"/>
                              <w:color w:val="A8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type w14:anchorId="544E227C" id="_x0000_t202" coordsize="21600,21600" o:spt="202" path="m,l,21600r21600,l21600,xe">
              <v:stroke joinstyle="miter"/>
              <v:path gradientshapeok="t" o:connecttype="rect"/>
            </v:shapetype>
            <v:shape id="MSIPCM024a4fd5858da983efe8f8b6" o:spid="_x0000_s1026" type="#_x0000_t202" alt="{&quot;HashCode&quot;:80392773,&quot;Height&quot;:841.0,&quot;Width&quot;:595.0,&quot;Placement&quot;:&quot;Header&quot;,&quot;Index&quot;:&quot;Primary&quot;,&quot;Section&quot;:1,&quot;Top&quot;:0.0,&quot;Left&quot;:0.0}" style="position:absolute;margin-left:0;margin-top:15pt;width:595.3pt;height:21.2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" o:allowincell="f" filled="f" stroked="f" strokeweight=".5pt">
              <v:textbox inset=",0,20pt,0">
                <w:txbxContent>
                  <w:p w14:paraId="639BBDAC" w14:textId="28E14659" w:rsidR="00FF02A9" w:rsidRPr="00FF02A9" w:rsidRDefault="00FF02A9" w:rsidP="00FF02A9">
                    <w:pPr>
                      <w:spacing w:after="0"/>
                      <w:jc w:val="right"/>
                      <w:rPr>
                        <w:rFonts w:ascii="Century" w:hAnsi="Century"/>
                        <w:color w:val="A80000"/>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AA86" w14:textId="77777777" w:rsidR="002C2531" w:rsidRDefault="002C25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469"/>
    <w:multiLevelType w:val="hybridMultilevel"/>
    <w:tmpl w:val="F600260E"/>
    <w:lvl w:ilvl="0" w:tplc="75F25EC4">
      <w:numFmt w:val="bullet"/>
      <w:lvlText w:val="-"/>
      <w:lvlJc w:val="left"/>
      <w:pPr>
        <w:ind w:left="720" w:hanging="360"/>
      </w:pPr>
      <w:rPr>
        <w:rFonts w:ascii="Calibri" w:eastAsia="Calibri" w:hAnsi="Calibri" w:cs="Calibri" w:hint="default"/>
      </w:rPr>
    </w:lvl>
    <w:lvl w:ilvl="1" w:tplc="0C624DA6" w:tentative="1">
      <w:start w:val="1"/>
      <w:numFmt w:val="bullet"/>
      <w:lvlText w:val="o"/>
      <w:lvlJc w:val="left"/>
      <w:pPr>
        <w:ind w:left="1440" w:hanging="360"/>
      </w:pPr>
      <w:rPr>
        <w:rFonts w:ascii="Courier New" w:hAnsi="Courier New" w:cs="Courier New" w:hint="default"/>
      </w:rPr>
    </w:lvl>
    <w:lvl w:ilvl="2" w:tplc="596A95F8" w:tentative="1">
      <w:start w:val="1"/>
      <w:numFmt w:val="bullet"/>
      <w:lvlText w:val=""/>
      <w:lvlJc w:val="left"/>
      <w:pPr>
        <w:ind w:left="2160" w:hanging="360"/>
      </w:pPr>
      <w:rPr>
        <w:rFonts w:ascii="Wingdings" w:hAnsi="Wingdings" w:hint="default"/>
      </w:rPr>
    </w:lvl>
    <w:lvl w:ilvl="3" w:tplc="D5ACD7FE" w:tentative="1">
      <w:start w:val="1"/>
      <w:numFmt w:val="bullet"/>
      <w:lvlText w:val=""/>
      <w:lvlJc w:val="left"/>
      <w:pPr>
        <w:ind w:left="2880" w:hanging="360"/>
      </w:pPr>
      <w:rPr>
        <w:rFonts w:ascii="Symbol" w:hAnsi="Symbol" w:hint="default"/>
      </w:rPr>
    </w:lvl>
    <w:lvl w:ilvl="4" w:tplc="BB46E18C" w:tentative="1">
      <w:start w:val="1"/>
      <w:numFmt w:val="bullet"/>
      <w:lvlText w:val="o"/>
      <w:lvlJc w:val="left"/>
      <w:pPr>
        <w:ind w:left="3600" w:hanging="360"/>
      </w:pPr>
      <w:rPr>
        <w:rFonts w:ascii="Courier New" w:hAnsi="Courier New" w:cs="Courier New" w:hint="default"/>
      </w:rPr>
    </w:lvl>
    <w:lvl w:ilvl="5" w:tplc="478426A6" w:tentative="1">
      <w:start w:val="1"/>
      <w:numFmt w:val="bullet"/>
      <w:lvlText w:val=""/>
      <w:lvlJc w:val="left"/>
      <w:pPr>
        <w:ind w:left="4320" w:hanging="360"/>
      </w:pPr>
      <w:rPr>
        <w:rFonts w:ascii="Wingdings" w:hAnsi="Wingdings" w:hint="default"/>
      </w:rPr>
    </w:lvl>
    <w:lvl w:ilvl="6" w:tplc="0E808D2A" w:tentative="1">
      <w:start w:val="1"/>
      <w:numFmt w:val="bullet"/>
      <w:lvlText w:val=""/>
      <w:lvlJc w:val="left"/>
      <w:pPr>
        <w:ind w:left="5040" w:hanging="360"/>
      </w:pPr>
      <w:rPr>
        <w:rFonts w:ascii="Symbol" w:hAnsi="Symbol" w:hint="default"/>
      </w:rPr>
    </w:lvl>
    <w:lvl w:ilvl="7" w:tplc="13283A5A" w:tentative="1">
      <w:start w:val="1"/>
      <w:numFmt w:val="bullet"/>
      <w:lvlText w:val="o"/>
      <w:lvlJc w:val="left"/>
      <w:pPr>
        <w:ind w:left="5760" w:hanging="360"/>
      </w:pPr>
      <w:rPr>
        <w:rFonts w:ascii="Courier New" w:hAnsi="Courier New" w:cs="Courier New" w:hint="default"/>
      </w:rPr>
    </w:lvl>
    <w:lvl w:ilvl="8" w:tplc="F56E1EDC" w:tentative="1">
      <w:start w:val="1"/>
      <w:numFmt w:val="bullet"/>
      <w:lvlText w:val=""/>
      <w:lvlJc w:val="left"/>
      <w:pPr>
        <w:ind w:left="6480" w:hanging="360"/>
      </w:pPr>
      <w:rPr>
        <w:rFonts w:ascii="Wingdings" w:hAnsi="Wingdings" w:hint="default"/>
      </w:rPr>
    </w:lvl>
  </w:abstractNum>
  <w:abstractNum w:abstractNumId="1" w15:restartNumberingAfterBreak="0">
    <w:nsid w:val="12D10A60"/>
    <w:multiLevelType w:val="hybridMultilevel"/>
    <w:tmpl w:val="5A1072C4"/>
    <w:lvl w:ilvl="0" w:tplc="00145B8C">
      <w:start w:val="1"/>
      <w:numFmt w:val="bullet"/>
      <w:lvlText w:val=""/>
      <w:lvlJc w:val="left"/>
      <w:pPr>
        <w:ind w:left="1287" w:hanging="360"/>
      </w:pPr>
      <w:rPr>
        <w:rFonts w:ascii="Symbol" w:hAnsi="Symbol" w:hint="default"/>
      </w:rPr>
    </w:lvl>
    <w:lvl w:ilvl="1" w:tplc="8FB6E2A4" w:tentative="1">
      <w:start w:val="1"/>
      <w:numFmt w:val="bullet"/>
      <w:lvlText w:val="o"/>
      <w:lvlJc w:val="left"/>
      <w:pPr>
        <w:ind w:left="2007" w:hanging="360"/>
      </w:pPr>
      <w:rPr>
        <w:rFonts w:ascii="Courier New" w:hAnsi="Courier New" w:cs="Courier New" w:hint="default"/>
      </w:rPr>
    </w:lvl>
    <w:lvl w:ilvl="2" w:tplc="725243F8" w:tentative="1">
      <w:start w:val="1"/>
      <w:numFmt w:val="bullet"/>
      <w:lvlText w:val=""/>
      <w:lvlJc w:val="left"/>
      <w:pPr>
        <w:ind w:left="2727" w:hanging="360"/>
      </w:pPr>
      <w:rPr>
        <w:rFonts w:ascii="Wingdings" w:hAnsi="Wingdings" w:hint="default"/>
      </w:rPr>
    </w:lvl>
    <w:lvl w:ilvl="3" w:tplc="0CAEB5B6" w:tentative="1">
      <w:start w:val="1"/>
      <w:numFmt w:val="bullet"/>
      <w:lvlText w:val=""/>
      <w:lvlJc w:val="left"/>
      <w:pPr>
        <w:ind w:left="3447" w:hanging="360"/>
      </w:pPr>
      <w:rPr>
        <w:rFonts w:ascii="Symbol" w:hAnsi="Symbol" w:hint="default"/>
      </w:rPr>
    </w:lvl>
    <w:lvl w:ilvl="4" w:tplc="9F44A02C" w:tentative="1">
      <w:start w:val="1"/>
      <w:numFmt w:val="bullet"/>
      <w:lvlText w:val="o"/>
      <w:lvlJc w:val="left"/>
      <w:pPr>
        <w:ind w:left="4167" w:hanging="360"/>
      </w:pPr>
      <w:rPr>
        <w:rFonts w:ascii="Courier New" w:hAnsi="Courier New" w:cs="Courier New" w:hint="default"/>
      </w:rPr>
    </w:lvl>
    <w:lvl w:ilvl="5" w:tplc="546AC36A" w:tentative="1">
      <w:start w:val="1"/>
      <w:numFmt w:val="bullet"/>
      <w:lvlText w:val=""/>
      <w:lvlJc w:val="left"/>
      <w:pPr>
        <w:ind w:left="4887" w:hanging="360"/>
      </w:pPr>
      <w:rPr>
        <w:rFonts w:ascii="Wingdings" w:hAnsi="Wingdings" w:hint="default"/>
      </w:rPr>
    </w:lvl>
    <w:lvl w:ilvl="6" w:tplc="3E7EB664" w:tentative="1">
      <w:start w:val="1"/>
      <w:numFmt w:val="bullet"/>
      <w:lvlText w:val=""/>
      <w:lvlJc w:val="left"/>
      <w:pPr>
        <w:ind w:left="5607" w:hanging="360"/>
      </w:pPr>
      <w:rPr>
        <w:rFonts w:ascii="Symbol" w:hAnsi="Symbol" w:hint="default"/>
      </w:rPr>
    </w:lvl>
    <w:lvl w:ilvl="7" w:tplc="8EB08EEC" w:tentative="1">
      <w:start w:val="1"/>
      <w:numFmt w:val="bullet"/>
      <w:lvlText w:val="o"/>
      <w:lvlJc w:val="left"/>
      <w:pPr>
        <w:ind w:left="6327" w:hanging="360"/>
      </w:pPr>
      <w:rPr>
        <w:rFonts w:ascii="Courier New" w:hAnsi="Courier New" w:cs="Courier New" w:hint="default"/>
      </w:rPr>
    </w:lvl>
    <w:lvl w:ilvl="8" w:tplc="67B89784" w:tentative="1">
      <w:start w:val="1"/>
      <w:numFmt w:val="bullet"/>
      <w:lvlText w:val=""/>
      <w:lvlJc w:val="left"/>
      <w:pPr>
        <w:ind w:left="7047" w:hanging="360"/>
      </w:pPr>
      <w:rPr>
        <w:rFonts w:ascii="Wingdings" w:hAnsi="Wingdings" w:hint="default"/>
      </w:rPr>
    </w:lvl>
  </w:abstractNum>
  <w:abstractNum w:abstractNumId="2" w15:restartNumberingAfterBreak="0">
    <w:nsid w:val="32692CFD"/>
    <w:multiLevelType w:val="hybridMultilevel"/>
    <w:tmpl w:val="647C5006"/>
    <w:lvl w:ilvl="0" w:tplc="B04C0204">
      <w:start w:val="1"/>
      <w:numFmt w:val="bullet"/>
      <w:lvlText w:val=""/>
      <w:lvlJc w:val="left"/>
      <w:pPr>
        <w:ind w:left="720" w:hanging="360"/>
      </w:pPr>
      <w:rPr>
        <w:rFonts w:ascii="Symbol" w:hAnsi="Symbol" w:hint="default"/>
      </w:rPr>
    </w:lvl>
    <w:lvl w:ilvl="1" w:tplc="8ED2A59E" w:tentative="1">
      <w:start w:val="1"/>
      <w:numFmt w:val="bullet"/>
      <w:lvlText w:val="o"/>
      <w:lvlJc w:val="left"/>
      <w:pPr>
        <w:ind w:left="1440" w:hanging="360"/>
      </w:pPr>
      <w:rPr>
        <w:rFonts w:ascii="Courier New" w:hAnsi="Courier New" w:cs="Courier New" w:hint="default"/>
      </w:rPr>
    </w:lvl>
    <w:lvl w:ilvl="2" w:tplc="4F9C969A" w:tentative="1">
      <w:start w:val="1"/>
      <w:numFmt w:val="bullet"/>
      <w:lvlText w:val=""/>
      <w:lvlJc w:val="left"/>
      <w:pPr>
        <w:ind w:left="2160" w:hanging="360"/>
      </w:pPr>
      <w:rPr>
        <w:rFonts w:ascii="Wingdings" w:hAnsi="Wingdings" w:hint="default"/>
      </w:rPr>
    </w:lvl>
    <w:lvl w:ilvl="3" w:tplc="0388B528" w:tentative="1">
      <w:start w:val="1"/>
      <w:numFmt w:val="bullet"/>
      <w:lvlText w:val=""/>
      <w:lvlJc w:val="left"/>
      <w:pPr>
        <w:ind w:left="2880" w:hanging="360"/>
      </w:pPr>
      <w:rPr>
        <w:rFonts w:ascii="Symbol" w:hAnsi="Symbol" w:hint="default"/>
      </w:rPr>
    </w:lvl>
    <w:lvl w:ilvl="4" w:tplc="7122A922" w:tentative="1">
      <w:start w:val="1"/>
      <w:numFmt w:val="bullet"/>
      <w:lvlText w:val="o"/>
      <w:lvlJc w:val="left"/>
      <w:pPr>
        <w:ind w:left="3600" w:hanging="360"/>
      </w:pPr>
      <w:rPr>
        <w:rFonts w:ascii="Courier New" w:hAnsi="Courier New" w:cs="Courier New" w:hint="default"/>
      </w:rPr>
    </w:lvl>
    <w:lvl w:ilvl="5" w:tplc="03B80ECE" w:tentative="1">
      <w:start w:val="1"/>
      <w:numFmt w:val="bullet"/>
      <w:lvlText w:val=""/>
      <w:lvlJc w:val="left"/>
      <w:pPr>
        <w:ind w:left="4320" w:hanging="360"/>
      </w:pPr>
      <w:rPr>
        <w:rFonts w:ascii="Wingdings" w:hAnsi="Wingdings" w:hint="default"/>
      </w:rPr>
    </w:lvl>
    <w:lvl w:ilvl="6" w:tplc="38F6B0B2" w:tentative="1">
      <w:start w:val="1"/>
      <w:numFmt w:val="bullet"/>
      <w:lvlText w:val=""/>
      <w:lvlJc w:val="left"/>
      <w:pPr>
        <w:ind w:left="5040" w:hanging="360"/>
      </w:pPr>
      <w:rPr>
        <w:rFonts w:ascii="Symbol" w:hAnsi="Symbol" w:hint="default"/>
      </w:rPr>
    </w:lvl>
    <w:lvl w:ilvl="7" w:tplc="316A1218" w:tentative="1">
      <w:start w:val="1"/>
      <w:numFmt w:val="bullet"/>
      <w:lvlText w:val="o"/>
      <w:lvlJc w:val="left"/>
      <w:pPr>
        <w:ind w:left="5760" w:hanging="360"/>
      </w:pPr>
      <w:rPr>
        <w:rFonts w:ascii="Courier New" w:hAnsi="Courier New" w:cs="Courier New" w:hint="default"/>
      </w:rPr>
    </w:lvl>
    <w:lvl w:ilvl="8" w:tplc="6B58A540" w:tentative="1">
      <w:start w:val="1"/>
      <w:numFmt w:val="bullet"/>
      <w:lvlText w:val=""/>
      <w:lvlJc w:val="left"/>
      <w:pPr>
        <w:ind w:left="6480" w:hanging="360"/>
      </w:pPr>
      <w:rPr>
        <w:rFonts w:ascii="Wingdings" w:hAnsi="Wingdings" w:hint="default"/>
      </w:rPr>
    </w:lvl>
  </w:abstractNum>
  <w:abstractNum w:abstractNumId="3" w15:restartNumberingAfterBreak="0">
    <w:nsid w:val="42B96D7F"/>
    <w:multiLevelType w:val="hybridMultilevel"/>
    <w:tmpl w:val="F440F134"/>
    <w:lvl w:ilvl="0" w:tplc="2FB0CC76">
      <w:start w:val="1"/>
      <w:numFmt w:val="bullet"/>
      <w:lvlText w:val=""/>
      <w:lvlJc w:val="left"/>
      <w:pPr>
        <w:ind w:left="720" w:hanging="360"/>
      </w:pPr>
      <w:rPr>
        <w:rFonts w:ascii="Symbol" w:hAnsi="Symbol" w:hint="default"/>
      </w:rPr>
    </w:lvl>
    <w:lvl w:ilvl="1" w:tplc="85C42692" w:tentative="1">
      <w:start w:val="1"/>
      <w:numFmt w:val="bullet"/>
      <w:lvlText w:val="o"/>
      <w:lvlJc w:val="left"/>
      <w:pPr>
        <w:ind w:left="1440" w:hanging="360"/>
      </w:pPr>
      <w:rPr>
        <w:rFonts w:ascii="Courier New" w:hAnsi="Courier New" w:cs="Courier New" w:hint="default"/>
      </w:rPr>
    </w:lvl>
    <w:lvl w:ilvl="2" w:tplc="1ABE6D6C" w:tentative="1">
      <w:start w:val="1"/>
      <w:numFmt w:val="bullet"/>
      <w:lvlText w:val=""/>
      <w:lvlJc w:val="left"/>
      <w:pPr>
        <w:ind w:left="2160" w:hanging="360"/>
      </w:pPr>
      <w:rPr>
        <w:rFonts w:ascii="Wingdings" w:hAnsi="Wingdings" w:hint="default"/>
      </w:rPr>
    </w:lvl>
    <w:lvl w:ilvl="3" w:tplc="2BCCABDC" w:tentative="1">
      <w:start w:val="1"/>
      <w:numFmt w:val="bullet"/>
      <w:lvlText w:val=""/>
      <w:lvlJc w:val="left"/>
      <w:pPr>
        <w:ind w:left="2880" w:hanging="360"/>
      </w:pPr>
      <w:rPr>
        <w:rFonts w:ascii="Symbol" w:hAnsi="Symbol" w:hint="default"/>
      </w:rPr>
    </w:lvl>
    <w:lvl w:ilvl="4" w:tplc="99E09144" w:tentative="1">
      <w:start w:val="1"/>
      <w:numFmt w:val="bullet"/>
      <w:lvlText w:val="o"/>
      <w:lvlJc w:val="left"/>
      <w:pPr>
        <w:ind w:left="3600" w:hanging="360"/>
      </w:pPr>
      <w:rPr>
        <w:rFonts w:ascii="Courier New" w:hAnsi="Courier New" w:cs="Courier New" w:hint="default"/>
      </w:rPr>
    </w:lvl>
    <w:lvl w:ilvl="5" w:tplc="6512EEBC" w:tentative="1">
      <w:start w:val="1"/>
      <w:numFmt w:val="bullet"/>
      <w:lvlText w:val=""/>
      <w:lvlJc w:val="left"/>
      <w:pPr>
        <w:ind w:left="4320" w:hanging="360"/>
      </w:pPr>
      <w:rPr>
        <w:rFonts w:ascii="Wingdings" w:hAnsi="Wingdings" w:hint="default"/>
      </w:rPr>
    </w:lvl>
    <w:lvl w:ilvl="6" w:tplc="69CC0DE6" w:tentative="1">
      <w:start w:val="1"/>
      <w:numFmt w:val="bullet"/>
      <w:lvlText w:val=""/>
      <w:lvlJc w:val="left"/>
      <w:pPr>
        <w:ind w:left="5040" w:hanging="360"/>
      </w:pPr>
      <w:rPr>
        <w:rFonts w:ascii="Symbol" w:hAnsi="Symbol" w:hint="default"/>
      </w:rPr>
    </w:lvl>
    <w:lvl w:ilvl="7" w:tplc="708C3380" w:tentative="1">
      <w:start w:val="1"/>
      <w:numFmt w:val="bullet"/>
      <w:lvlText w:val="o"/>
      <w:lvlJc w:val="left"/>
      <w:pPr>
        <w:ind w:left="5760" w:hanging="360"/>
      </w:pPr>
      <w:rPr>
        <w:rFonts w:ascii="Courier New" w:hAnsi="Courier New" w:cs="Courier New" w:hint="default"/>
      </w:rPr>
    </w:lvl>
    <w:lvl w:ilvl="8" w:tplc="13922A1C" w:tentative="1">
      <w:start w:val="1"/>
      <w:numFmt w:val="bullet"/>
      <w:lvlText w:val=""/>
      <w:lvlJc w:val="left"/>
      <w:pPr>
        <w:ind w:left="6480" w:hanging="360"/>
      </w:pPr>
      <w:rPr>
        <w:rFonts w:ascii="Wingdings" w:hAnsi="Wingdings" w:hint="default"/>
      </w:rPr>
    </w:lvl>
  </w:abstractNum>
  <w:abstractNum w:abstractNumId="4" w15:restartNumberingAfterBreak="0">
    <w:nsid w:val="43E44E61"/>
    <w:multiLevelType w:val="hybridMultilevel"/>
    <w:tmpl w:val="336E7D0E"/>
    <w:lvl w:ilvl="0" w:tplc="F8DA5A34">
      <w:start w:val="1"/>
      <w:numFmt w:val="bullet"/>
      <w:lvlText w:val=""/>
      <w:lvlJc w:val="left"/>
      <w:pPr>
        <w:ind w:left="720" w:hanging="360"/>
      </w:pPr>
      <w:rPr>
        <w:rFonts w:ascii="Symbol" w:hAnsi="Symbol" w:hint="default"/>
      </w:rPr>
    </w:lvl>
    <w:lvl w:ilvl="1" w:tplc="F3DCD76C" w:tentative="1">
      <w:start w:val="1"/>
      <w:numFmt w:val="bullet"/>
      <w:lvlText w:val="o"/>
      <w:lvlJc w:val="left"/>
      <w:pPr>
        <w:ind w:left="1440" w:hanging="360"/>
      </w:pPr>
      <w:rPr>
        <w:rFonts w:ascii="Courier New" w:hAnsi="Courier New" w:cs="Courier New" w:hint="default"/>
      </w:rPr>
    </w:lvl>
    <w:lvl w:ilvl="2" w:tplc="C9FEA52A" w:tentative="1">
      <w:start w:val="1"/>
      <w:numFmt w:val="bullet"/>
      <w:lvlText w:val=""/>
      <w:lvlJc w:val="left"/>
      <w:pPr>
        <w:ind w:left="2160" w:hanging="360"/>
      </w:pPr>
      <w:rPr>
        <w:rFonts w:ascii="Wingdings" w:hAnsi="Wingdings" w:hint="default"/>
      </w:rPr>
    </w:lvl>
    <w:lvl w:ilvl="3" w:tplc="B81E0DD6" w:tentative="1">
      <w:start w:val="1"/>
      <w:numFmt w:val="bullet"/>
      <w:lvlText w:val=""/>
      <w:lvlJc w:val="left"/>
      <w:pPr>
        <w:ind w:left="2880" w:hanging="360"/>
      </w:pPr>
      <w:rPr>
        <w:rFonts w:ascii="Symbol" w:hAnsi="Symbol" w:hint="default"/>
      </w:rPr>
    </w:lvl>
    <w:lvl w:ilvl="4" w:tplc="21A2B272" w:tentative="1">
      <w:start w:val="1"/>
      <w:numFmt w:val="bullet"/>
      <w:lvlText w:val="o"/>
      <w:lvlJc w:val="left"/>
      <w:pPr>
        <w:ind w:left="3600" w:hanging="360"/>
      </w:pPr>
      <w:rPr>
        <w:rFonts w:ascii="Courier New" w:hAnsi="Courier New" w:cs="Courier New" w:hint="default"/>
      </w:rPr>
    </w:lvl>
    <w:lvl w:ilvl="5" w:tplc="52B2ED8C" w:tentative="1">
      <w:start w:val="1"/>
      <w:numFmt w:val="bullet"/>
      <w:lvlText w:val=""/>
      <w:lvlJc w:val="left"/>
      <w:pPr>
        <w:ind w:left="4320" w:hanging="360"/>
      </w:pPr>
      <w:rPr>
        <w:rFonts w:ascii="Wingdings" w:hAnsi="Wingdings" w:hint="default"/>
      </w:rPr>
    </w:lvl>
    <w:lvl w:ilvl="6" w:tplc="D6AE66C0" w:tentative="1">
      <w:start w:val="1"/>
      <w:numFmt w:val="bullet"/>
      <w:lvlText w:val=""/>
      <w:lvlJc w:val="left"/>
      <w:pPr>
        <w:ind w:left="5040" w:hanging="360"/>
      </w:pPr>
      <w:rPr>
        <w:rFonts w:ascii="Symbol" w:hAnsi="Symbol" w:hint="default"/>
      </w:rPr>
    </w:lvl>
    <w:lvl w:ilvl="7" w:tplc="66EC028C" w:tentative="1">
      <w:start w:val="1"/>
      <w:numFmt w:val="bullet"/>
      <w:lvlText w:val="o"/>
      <w:lvlJc w:val="left"/>
      <w:pPr>
        <w:ind w:left="5760" w:hanging="360"/>
      </w:pPr>
      <w:rPr>
        <w:rFonts w:ascii="Courier New" w:hAnsi="Courier New" w:cs="Courier New" w:hint="default"/>
      </w:rPr>
    </w:lvl>
    <w:lvl w:ilvl="8" w:tplc="1D36244E" w:tentative="1">
      <w:start w:val="1"/>
      <w:numFmt w:val="bullet"/>
      <w:lvlText w:val=""/>
      <w:lvlJc w:val="left"/>
      <w:pPr>
        <w:ind w:left="6480" w:hanging="360"/>
      </w:pPr>
      <w:rPr>
        <w:rFonts w:ascii="Wingdings" w:hAnsi="Wingdings" w:hint="default"/>
      </w:rPr>
    </w:lvl>
  </w:abstractNum>
  <w:abstractNum w:abstractNumId="5" w15:restartNumberingAfterBreak="0">
    <w:nsid w:val="50F45CEE"/>
    <w:multiLevelType w:val="hybridMultilevel"/>
    <w:tmpl w:val="E4F41CD6"/>
    <w:lvl w:ilvl="0" w:tplc="E4B6B05A">
      <w:start w:val="1"/>
      <w:numFmt w:val="bullet"/>
      <w:lvlText w:val=""/>
      <w:lvlJc w:val="left"/>
      <w:pPr>
        <w:ind w:left="0" w:hanging="360"/>
      </w:pPr>
      <w:rPr>
        <w:rFonts w:ascii="Symbol" w:hAnsi="Symbol" w:hint="default"/>
      </w:rPr>
    </w:lvl>
    <w:lvl w:ilvl="1" w:tplc="16AE6E54" w:tentative="1">
      <w:start w:val="1"/>
      <w:numFmt w:val="bullet"/>
      <w:lvlText w:val="o"/>
      <w:lvlJc w:val="left"/>
      <w:pPr>
        <w:ind w:left="720" w:hanging="360"/>
      </w:pPr>
      <w:rPr>
        <w:rFonts w:ascii="Courier New" w:hAnsi="Courier New" w:cs="Courier New" w:hint="default"/>
      </w:rPr>
    </w:lvl>
    <w:lvl w:ilvl="2" w:tplc="12E8C29A" w:tentative="1">
      <w:start w:val="1"/>
      <w:numFmt w:val="bullet"/>
      <w:lvlText w:val=""/>
      <w:lvlJc w:val="left"/>
      <w:pPr>
        <w:ind w:left="1440" w:hanging="360"/>
      </w:pPr>
      <w:rPr>
        <w:rFonts w:ascii="Wingdings" w:hAnsi="Wingdings" w:hint="default"/>
      </w:rPr>
    </w:lvl>
    <w:lvl w:ilvl="3" w:tplc="09CE8758" w:tentative="1">
      <w:start w:val="1"/>
      <w:numFmt w:val="bullet"/>
      <w:lvlText w:val=""/>
      <w:lvlJc w:val="left"/>
      <w:pPr>
        <w:ind w:left="2160" w:hanging="360"/>
      </w:pPr>
      <w:rPr>
        <w:rFonts w:ascii="Symbol" w:hAnsi="Symbol" w:hint="default"/>
      </w:rPr>
    </w:lvl>
    <w:lvl w:ilvl="4" w:tplc="A52C1204" w:tentative="1">
      <w:start w:val="1"/>
      <w:numFmt w:val="bullet"/>
      <w:lvlText w:val="o"/>
      <w:lvlJc w:val="left"/>
      <w:pPr>
        <w:ind w:left="2880" w:hanging="360"/>
      </w:pPr>
      <w:rPr>
        <w:rFonts w:ascii="Courier New" w:hAnsi="Courier New" w:cs="Courier New" w:hint="default"/>
      </w:rPr>
    </w:lvl>
    <w:lvl w:ilvl="5" w:tplc="73388584" w:tentative="1">
      <w:start w:val="1"/>
      <w:numFmt w:val="bullet"/>
      <w:lvlText w:val=""/>
      <w:lvlJc w:val="left"/>
      <w:pPr>
        <w:ind w:left="3600" w:hanging="360"/>
      </w:pPr>
      <w:rPr>
        <w:rFonts w:ascii="Wingdings" w:hAnsi="Wingdings" w:hint="default"/>
      </w:rPr>
    </w:lvl>
    <w:lvl w:ilvl="6" w:tplc="949EE13A" w:tentative="1">
      <w:start w:val="1"/>
      <w:numFmt w:val="bullet"/>
      <w:lvlText w:val=""/>
      <w:lvlJc w:val="left"/>
      <w:pPr>
        <w:ind w:left="4320" w:hanging="360"/>
      </w:pPr>
      <w:rPr>
        <w:rFonts w:ascii="Symbol" w:hAnsi="Symbol" w:hint="default"/>
      </w:rPr>
    </w:lvl>
    <w:lvl w:ilvl="7" w:tplc="2E68A824" w:tentative="1">
      <w:start w:val="1"/>
      <w:numFmt w:val="bullet"/>
      <w:lvlText w:val="o"/>
      <w:lvlJc w:val="left"/>
      <w:pPr>
        <w:ind w:left="5040" w:hanging="360"/>
      </w:pPr>
      <w:rPr>
        <w:rFonts w:ascii="Courier New" w:hAnsi="Courier New" w:cs="Courier New" w:hint="default"/>
      </w:rPr>
    </w:lvl>
    <w:lvl w:ilvl="8" w:tplc="1596920A" w:tentative="1">
      <w:start w:val="1"/>
      <w:numFmt w:val="bullet"/>
      <w:lvlText w:val=""/>
      <w:lvlJc w:val="left"/>
      <w:pPr>
        <w:ind w:left="5760" w:hanging="360"/>
      </w:pPr>
      <w:rPr>
        <w:rFonts w:ascii="Wingdings" w:hAnsi="Wingdings" w:hint="default"/>
      </w:rPr>
    </w:lvl>
  </w:abstractNum>
  <w:abstractNum w:abstractNumId="6" w15:restartNumberingAfterBreak="0">
    <w:nsid w:val="60171E84"/>
    <w:multiLevelType w:val="hybridMultilevel"/>
    <w:tmpl w:val="E146CFC6"/>
    <w:lvl w:ilvl="0" w:tplc="FD30BCB8">
      <w:start w:val="1"/>
      <w:numFmt w:val="bullet"/>
      <w:lvlText w:val=""/>
      <w:lvlJc w:val="left"/>
      <w:pPr>
        <w:ind w:left="720" w:hanging="360"/>
      </w:pPr>
      <w:rPr>
        <w:rFonts w:ascii="Symbol" w:hAnsi="Symbol" w:hint="default"/>
      </w:rPr>
    </w:lvl>
    <w:lvl w:ilvl="1" w:tplc="570CC546" w:tentative="1">
      <w:start w:val="1"/>
      <w:numFmt w:val="bullet"/>
      <w:lvlText w:val="o"/>
      <w:lvlJc w:val="left"/>
      <w:pPr>
        <w:ind w:left="1440" w:hanging="360"/>
      </w:pPr>
      <w:rPr>
        <w:rFonts w:ascii="Courier New" w:hAnsi="Courier New" w:cs="Courier New" w:hint="default"/>
      </w:rPr>
    </w:lvl>
    <w:lvl w:ilvl="2" w:tplc="83804094" w:tentative="1">
      <w:start w:val="1"/>
      <w:numFmt w:val="bullet"/>
      <w:lvlText w:val=""/>
      <w:lvlJc w:val="left"/>
      <w:pPr>
        <w:ind w:left="2160" w:hanging="360"/>
      </w:pPr>
      <w:rPr>
        <w:rFonts w:ascii="Wingdings" w:hAnsi="Wingdings" w:hint="default"/>
      </w:rPr>
    </w:lvl>
    <w:lvl w:ilvl="3" w:tplc="F3906848" w:tentative="1">
      <w:start w:val="1"/>
      <w:numFmt w:val="bullet"/>
      <w:lvlText w:val=""/>
      <w:lvlJc w:val="left"/>
      <w:pPr>
        <w:ind w:left="2880" w:hanging="360"/>
      </w:pPr>
      <w:rPr>
        <w:rFonts w:ascii="Symbol" w:hAnsi="Symbol" w:hint="default"/>
      </w:rPr>
    </w:lvl>
    <w:lvl w:ilvl="4" w:tplc="1750AA5A" w:tentative="1">
      <w:start w:val="1"/>
      <w:numFmt w:val="bullet"/>
      <w:lvlText w:val="o"/>
      <w:lvlJc w:val="left"/>
      <w:pPr>
        <w:ind w:left="3600" w:hanging="360"/>
      </w:pPr>
      <w:rPr>
        <w:rFonts w:ascii="Courier New" w:hAnsi="Courier New" w:cs="Courier New" w:hint="default"/>
      </w:rPr>
    </w:lvl>
    <w:lvl w:ilvl="5" w:tplc="F2006F22" w:tentative="1">
      <w:start w:val="1"/>
      <w:numFmt w:val="bullet"/>
      <w:lvlText w:val=""/>
      <w:lvlJc w:val="left"/>
      <w:pPr>
        <w:ind w:left="4320" w:hanging="360"/>
      </w:pPr>
      <w:rPr>
        <w:rFonts w:ascii="Wingdings" w:hAnsi="Wingdings" w:hint="default"/>
      </w:rPr>
    </w:lvl>
    <w:lvl w:ilvl="6" w:tplc="DD98B6CE" w:tentative="1">
      <w:start w:val="1"/>
      <w:numFmt w:val="bullet"/>
      <w:lvlText w:val=""/>
      <w:lvlJc w:val="left"/>
      <w:pPr>
        <w:ind w:left="5040" w:hanging="360"/>
      </w:pPr>
      <w:rPr>
        <w:rFonts w:ascii="Symbol" w:hAnsi="Symbol" w:hint="default"/>
      </w:rPr>
    </w:lvl>
    <w:lvl w:ilvl="7" w:tplc="75B66538" w:tentative="1">
      <w:start w:val="1"/>
      <w:numFmt w:val="bullet"/>
      <w:lvlText w:val="o"/>
      <w:lvlJc w:val="left"/>
      <w:pPr>
        <w:ind w:left="5760" w:hanging="360"/>
      </w:pPr>
      <w:rPr>
        <w:rFonts w:ascii="Courier New" w:hAnsi="Courier New" w:cs="Courier New" w:hint="default"/>
      </w:rPr>
    </w:lvl>
    <w:lvl w:ilvl="8" w:tplc="A6D6CE04" w:tentative="1">
      <w:start w:val="1"/>
      <w:numFmt w:val="bullet"/>
      <w:lvlText w:val=""/>
      <w:lvlJc w:val="left"/>
      <w:pPr>
        <w:ind w:left="6480" w:hanging="360"/>
      </w:pPr>
      <w:rPr>
        <w:rFonts w:ascii="Wingdings" w:hAnsi="Wingdings" w:hint="default"/>
      </w:rPr>
    </w:lvl>
  </w:abstractNum>
  <w:abstractNum w:abstractNumId="7" w15:restartNumberingAfterBreak="0">
    <w:nsid w:val="755C2E6C"/>
    <w:multiLevelType w:val="hybridMultilevel"/>
    <w:tmpl w:val="553C3162"/>
    <w:lvl w:ilvl="0" w:tplc="DA6C0EB6">
      <w:start w:val="1"/>
      <w:numFmt w:val="bullet"/>
      <w:lvlText w:val=""/>
      <w:lvlJc w:val="left"/>
      <w:pPr>
        <w:ind w:left="863" w:hanging="360"/>
      </w:pPr>
      <w:rPr>
        <w:rFonts w:ascii="Symbol" w:hAnsi="Symbol" w:hint="default"/>
      </w:rPr>
    </w:lvl>
    <w:lvl w:ilvl="1" w:tplc="B1800DBC" w:tentative="1">
      <w:start w:val="1"/>
      <w:numFmt w:val="bullet"/>
      <w:lvlText w:val="o"/>
      <w:lvlJc w:val="left"/>
      <w:pPr>
        <w:ind w:left="1583" w:hanging="360"/>
      </w:pPr>
      <w:rPr>
        <w:rFonts w:ascii="Courier New" w:hAnsi="Courier New" w:cs="Courier New" w:hint="default"/>
      </w:rPr>
    </w:lvl>
    <w:lvl w:ilvl="2" w:tplc="4DA63184" w:tentative="1">
      <w:start w:val="1"/>
      <w:numFmt w:val="bullet"/>
      <w:lvlText w:val=""/>
      <w:lvlJc w:val="left"/>
      <w:pPr>
        <w:ind w:left="2303" w:hanging="360"/>
      </w:pPr>
      <w:rPr>
        <w:rFonts w:ascii="Wingdings" w:hAnsi="Wingdings" w:hint="default"/>
      </w:rPr>
    </w:lvl>
    <w:lvl w:ilvl="3" w:tplc="17488790" w:tentative="1">
      <w:start w:val="1"/>
      <w:numFmt w:val="bullet"/>
      <w:lvlText w:val=""/>
      <w:lvlJc w:val="left"/>
      <w:pPr>
        <w:ind w:left="3023" w:hanging="360"/>
      </w:pPr>
      <w:rPr>
        <w:rFonts w:ascii="Symbol" w:hAnsi="Symbol" w:hint="default"/>
      </w:rPr>
    </w:lvl>
    <w:lvl w:ilvl="4" w:tplc="01E63A0A" w:tentative="1">
      <w:start w:val="1"/>
      <w:numFmt w:val="bullet"/>
      <w:lvlText w:val="o"/>
      <w:lvlJc w:val="left"/>
      <w:pPr>
        <w:ind w:left="3743" w:hanging="360"/>
      </w:pPr>
      <w:rPr>
        <w:rFonts w:ascii="Courier New" w:hAnsi="Courier New" w:cs="Courier New" w:hint="default"/>
      </w:rPr>
    </w:lvl>
    <w:lvl w:ilvl="5" w:tplc="12E2CEF8" w:tentative="1">
      <w:start w:val="1"/>
      <w:numFmt w:val="bullet"/>
      <w:lvlText w:val=""/>
      <w:lvlJc w:val="left"/>
      <w:pPr>
        <w:ind w:left="4463" w:hanging="360"/>
      </w:pPr>
      <w:rPr>
        <w:rFonts w:ascii="Wingdings" w:hAnsi="Wingdings" w:hint="default"/>
      </w:rPr>
    </w:lvl>
    <w:lvl w:ilvl="6" w:tplc="9328D8B8" w:tentative="1">
      <w:start w:val="1"/>
      <w:numFmt w:val="bullet"/>
      <w:lvlText w:val=""/>
      <w:lvlJc w:val="left"/>
      <w:pPr>
        <w:ind w:left="5183" w:hanging="360"/>
      </w:pPr>
      <w:rPr>
        <w:rFonts w:ascii="Symbol" w:hAnsi="Symbol" w:hint="default"/>
      </w:rPr>
    </w:lvl>
    <w:lvl w:ilvl="7" w:tplc="AEE05A1C" w:tentative="1">
      <w:start w:val="1"/>
      <w:numFmt w:val="bullet"/>
      <w:lvlText w:val="o"/>
      <w:lvlJc w:val="left"/>
      <w:pPr>
        <w:ind w:left="5903" w:hanging="360"/>
      </w:pPr>
      <w:rPr>
        <w:rFonts w:ascii="Courier New" w:hAnsi="Courier New" w:cs="Courier New" w:hint="default"/>
      </w:rPr>
    </w:lvl>
    <w:lvl w:ilvl="8" w:tplc="579666FC" w:tentative="1">
      <w:start w:val="1"/>
      <w:numFmt w:val="bullet"/>
      <w:lvlText w:val=""/>
      <w:lvlJc w:val="left"/>
      <w:pPr>
        <w:ind w:left="6623" w:hanging="360"/>
      </w:pPr>
      <w:rPr>
        <w:rFonts w:ascii="Wingdings" w:hAnsi="Wingdings" w:hint="default"/>
      </w:rPr>
    </w:lvl>
  </w:abstractNum>
  <w:abstractNum w:abstractNumId="8" w15:restartNumberingAfterBreak="0">
    <w:nsid w:val="7F7B692C"/>
    <w:multiLevelType w:val="hybridMultilevel"/>
    <w:tmpl w:val="E8046916"/>
    <w:lvl w:ilvl="0" w:tplc="65026568">
      <w:start w:val="1"/>
      <w:numFmt w:val="bullet"/>
      <w:lvlText w:val=""/>
      <w:lvlJc w:val="left"/>
      <w:pPr>
        <w:ind w:left="720" w:hanging="360"/>
      </w:pPr>
      <w:rPr>
        <w:rFonts w:ascii="Symbol" w:hAnsi="Symbol" w:hint="default"/>
      </w:rPr>
    </w:lvl>
    <w:lvl w:ilvl="1" w:tplc="D6228E02" w:tentative="1">
      <w:start w:val="1"/>
      <w:numFmt w:val="bullet"/>
      <w:lvlText w:val="o"/>
      <w:lvlJc w:val="left"/>
      <w:pPr>
        <w:ind w:left="1440" w:hanging="360"/>
      </w:pPr>
      <w:rPr>
        <w:rFonts w:ascii="Courier New" w:hAnsi="Courier New" w:cs="Courier New" w:hint="default"/>
      </w:rPr>
    </w:lvl>
    <w:lvl w:ilvl="2" w:tplc="566CF3AA" w:tentative="1">
      <w:start w:val="1"/>
      <w:numFmt w:val="bullet"/>
      <w:lvlText w:val=""/>
      <w:lvlJc w:val="left"/>
      <w:pPr>
        <w:ind w:left="2160" w:hanging="360"/>
      </w:pPr>
      <w:rPr>
        <w:rFonts w:ascii="Wingdings" w:hAnsi="Wingdings" w:hint="default"/>
      </w:rPr>
    </w:lvl>
    <w:lvl w:ilvl="3" w:tplc="6E6E10B8" w:tentative="1">
      <w:start w:val="1"/>
      <w:numFmt w:val="bullet"/>
      <w:lvlText w:val=""/>
      <w:lvlJc w:val="left"/>
      <w:pPr>
        <w:ind w:left="2880" w:hanging="360"/>
      </w:pPr>
      <w:rPr>
        <w:rFonts w:ascii="Symbol" w:hAnsi="Symbol" w:hint="default"/>
      </w:rPr>
    </w:lvl>
    <w:lvl w:ilvl="4" w:tplc="A47EDF40" w:tentative="1">
      <w:start w:val="1"/>
      <w:numFmt w:val="bullet"/>
      <w:lvlText w:val="o"/>
      <w:lvlJc w:val="left"/>
      <w:pPr>
        <w:ind w:left="3600" w:hanging="360"/>
      </w:pPr>
      <w:rPr>
        <w:rFonts w:ascii="Courier New" w:hAnsi="Courier New" w:cs="Courier New" w:hint="default"/>
      </w:rPr>
    </w:lvl>
    <w:lvl w:ilvl="5" w:tplc="5B484FE0" w:tentative="1">
      <w:start w:val="1"/>
      <w:numFmt w:val="bullet"/>
      <w:lvlText w:val=""/>
      <w:lvlJc w:val="left"/>
      <w:pPr>
        <w:ind w:left="4320" w:hanging="360"/>
      </w:pPr>
      <w:rPr>
        <w:rFonts w:ascii="Wingdings" w:hAnsi="Wingdings" w:hint="default"/>
      </w:rPr>
    </w:lvl>
    <w:lvl w:ilvl="6" w:tplc="C04A7366" w:tentative="1">
      <w:start w:val="1"/>
      <w:numFmt w:val="bullet"/>
      <w:lvlText w:val=""/>
      <w:lvlJc w:val="left"/>
      <w:pPr>
        <w:ind w:left="5040" w:hanging="360"/>
      </w:pPr>
      <w:rPr>
        <w:rFonts w:ascii="Symbol" w:hAnsi="Symbol" w:hint="default"/>
      </w:rPr>
    </w:lvl>
    <w:lvl w:ilvl="7" w:tplc="B49C3892" w:tentative="1">
      <w:start w:val="1"/>
      <w:numFmt w:val="bullet"/>
      <w:lvlText w:val="o"/>
      <w:lvlJc w:val="left"/>
      <w:pPr>
        <w:ind w:left="5760" w:hanging="360"/>
      </w:pPr>
      <w:rPr>
        <w:rFonts w:ascii="Courier New" w:hAnsi="Courier New" w:cs="Courier New" w:hint="default"/>
      </w:rPr>
    </w:lvl>
    <w:lvl w:ilvl="8" w:tplc="93A6B0B2" w:tentative="1">
      <w:start w:val="1"/>
      <w:numFmt w:val="bullet"/>
      <w:lvlText w:val=""/>
      <w:lvlJc w:val="left"/>
      <w:pPr>
        <w:ind w:left="6480" w:hanging="360"/>
      </w:pPr>
      <w:rPr>
        <w:rFonts w:ascii="Wingdings" w:hAnsi="Wingdings" w:hint="default"/>
      </w:rPr>
    </w:lvl>
  </w:abstractNum>
  <w:abstractNum w:abstractNumId="9" w15:restartNumberingAfterBreak="0">
    <w:nsid w:val="7FA70F3B"/>
    <w:multiLevelType w:val="hybridMultilevel"/>
    <w:tmpl w:val="E902840A"/>
    <w:lvl w:ilvl="0" w:tplc="4934C6EC">
      <w:start w:val="1"/>
      <w:numFmt w:val="bullet"/>
      <w:lvlText w:val=""/>
      <w:lvlJc w:val="left"/>
      <w:pPr>
        <w:ind w:left="720" w:hanging="360"/>
      </w:pPr>
      <w:rPr>
        <w:rFonts w:ascii="Symbol" w:hAnsi="Symbol" w:hint="default"/>
      </w:rPr>
    </w:lvl>
    <w:lvl w:ilvl="1" w:tplc="CBB0D7CA" w:tentative="1">
      <w:start w:val="1"/>
      <w:numFmt w:val="bullet"/>
      <w:lvlText w:val="o"/>
      <w:lvlJc w:val="left"/>
      <w:pPr>
        <w:ind w:left="1440" w:hanging="360"/>
      </w:pPr>
      <w:rPr>
        <w:rFonts w:ascii="Courier New" w:hAnsi="Courier New" w:cs="Courier New" w:hint="default"/>
      </w:rPr>
    </w:lvl>
    <w:lvl w:ilvl="2" w:tplc="E0580E78" w:tentative="1">
      <w:start w:val="1"/>
      <w:numFmt w:val="bullet"/>
      <w:lvlText w:val=""/>
      <w:lvlJc w:val="left"/>
      <w:pPr>
        <w:ind w:left="2160" w:hanging="360"/>
      </w:pPr>
      <w:rPr>
        <w:rFonts w:ascii="Wingdings" w:hAnsi="Wingdings" w:hint="default"/>
      </w:rPr>
    </w:lvl>
    <w:lvl w:ilvl="3" w:tplc="5EAA396C" w:tentative="1">
      <w:start w:val="1"/>
      <w:numFmt w:val="bullet"/>
      <w:lvlText w:val=""/>
      <w:lvlJc w:val="left"/>
      <w:pPr>
        <w:ind w:left="2880" w:hanging="360"/>
      </w:pPr>
      <w:rPr>
        <w:rFonts w:ascii="Symbol" w:hAnsi="Symbol" w:hint="default"/>
      </w:rPr>
    </w:lvl>
    <w:lvl w:ilvl="4" w:tplc="3C9EF32E" w:tentative="1">
      <w:start w:val="1"/>
      <w:numFmt w:val="bullet"/>
      <w:lvlText w:val="o"/>
      <w:lvlJc w:val="left"/>
      <w:pPr>
        <w:ind w:left="3600" w:hanging="360"/>
      </w:pPr>
      <w:rPr>
        <w:rFonts w:ascii="Courier New" w:hAnsi="Courier New" w:cs="Courier New" w:hint="default"/>
      </w:rPr>
    </w:lvl>
    <w:lvl w:ilvl="5" w:tplc="E2241930" w:tentative="1">
      <w:start w:val="1"/>
      <w:numFmt w:val="bullet"/>
      <w:lvlText w:val=""/>
      <w:lvlJc w:val="left"/>
      <w:pPr>
        <w:ind w:left="4320" w:hanging="360"/>
      </w:pPr>
      <w:rPr>
        <w:rFonts w:ascii="Wingdings" w:hAnsi="Wingdings" w:hint="default"/>
      </w:rPr>
    </w:lvl>
    <w:lvl w:ilvl="6" w:tplc="8924C8C8" w:tentative="1">
      <w:start w:val="1"/>
      <w:numFmt w:val="bullet"/>
      <w:lvlText w:val=""/>
      <w:lvlJc w:val="left"/>
      <w:pPr>
        <w:ind w:left="5040" w:hanging="360"/>
      </w:pPr>
      <w:rPr>
        <w:rFonts w:ascii="Symbol" w:hAnsi="Symbol" w:hint="default"/>
      </w:rPr>
    </w:lvl>
    <w:lvl w:ilvl="7" w:tplc="3510179C" w:tentative="1">
      <w:start w:val="1"/>
      <w:numFmt w:val="bullet"/>
      <w:lvlText w:val="o"/>
      <w:lvlJc w:val="left"/>
      <w:pPr>
        <w:ind w:left="5760" w:hanging="360"/>
      </w:pPr>
      <w:rPr>
        <w:rFonts w:ascii="Courier New" w:hAnsi="Courier New" w:cs="Courier New" w:hint="default"/>
      </w:rPr>
    </w:lvl>
    <w:lvl w:ilvl="8" w:tplc="1C3210A6" w:tentative="1">
      <w:start w:val="1"/>
      <w:numFmt w:val="bullet"/>
      <w:lvlText w:val=""/>
      <w:lvlJc w:val="left"/>
      <w:pPr>
        <w:ind w:left="6480" w:hanging="360"/>
      </w:pPr>
      <w:rPr>
        <w:rFonts w:ascii="Wingdings" w:hAnsi="Wingdings" w:hint="default"/>
      </w:rPr>
    </w:lvl>
  </w:abstractNum>
  <w:num w:numId="1" w16cid:durableId="505825025">
    <w:abstractNumId w:val="2"/>
  </w:num>
  <w:num w:numId="2" w16cid:durableId="187720079">
    <w:abstractNumId w:val="3"/>
  </w:num>
  <w:num w:numId="3" w16cid:durableId="1240022570">
    <w:abstractNumId w:val="5"/>
  </w:num>
  <w:num w:numId="4" w16cid:durableId="1536889018">
    <w:abstractNumId w:val="4"/>
  </w:num>
  <w:num w:numId="5" w16cid:durableId="418140536">
    <w:abstractNumId w:val="7"/>
  </w:num>
  <w:num w:numId="6" w16cid:durableId="1306736740">
    <w:abstractNumId w:val="9"/>
  </w:num>
  <w:num w:numId="7" w16cid:durableId="484902210">
    <w:abstractNumId w:val="0"/>
  </w:num>
  <w:num w:numId="8" w16cid:durableId="1854345676">
    <w:abstractNumId w:val="8"/>
  </w:num>
  <w:num w:numId="9" w16cid:durableId="338197634">
    <w:abstractNumId w:val="1"/>
  </w:num>
  <w:num w:numId="10" w16cid:durableId="4786130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Moves/>
  <w:doNotTrackFormatting/>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DA"/>
    <w:rsid w:val="000035EB"/>
    <w:rsid w:val="0001395D"/>
    <w:rsid w:val="000155D0"/>
    <w:rsid w:val="00015C09"/>
    <w:rsid w:val="00021427"/>
    <w:rsid w:val="00021D40"/>
    <w:rsid w:val="0003434C"/>
    <w:rsid w:val="0003576C"/>
    <w:rsid w:val="00035B42"/>
    <w:rsid w:val="000377B8"/>
    <w:rsid w:val="0004011C"/>
    <w:rsid w:val="00040EB3"/>
    <w:rsid w:val="00043E8A"/>
    <w:rsid w:val="00045339"/>
    <w:rsid w:val="0005116A"/>
    <w:rsid w:val="0007090A"/>
    <w:rsid w:val="00072021"/>
    <w:rsid w:val="00072F7B"/>
    <w:rsid w:val="00080A62"/>
    <w:rsid w:val="000813D9"/>
    <w:rsid w:val="0008165E"/>
    <w:rsid w:val="00082305"/>
    <w:rsid w:val="00095D61"/>
    <w:rsid w:val="000A4CDD"/>
    <w:rsid w:val="000A731D"/>
    <w:rsid w:val="000B40FF"/>
    <w:rsid w:val="000B7230"/>
    <w:rsid w:val="000C4C33"/>
    <w:rsid w:val="000C764C"/>
    <w:rsid w:val="000D2006"/>
    <w:rsid w:val="000D3CF9"/>
    <w:rsid w:val="000D78F5"/>
    <w:rsid w:val="000E12FC"/>
    <w:rsid w:val="000F2B06"/>
    <w:rsid w:val="000F43EF"/>
    <w:rsid w:val="000F6F7A"/>
    <w:rsid w:val="000F76CB"/>
    <w:rsid w:val="00100405"/>
    <w:rsid w:val="00107736"/>
    <w:rsid w:val="00114071"/>
    <w:rsid w:val="00122B90"/>
    <w:rsid w:val="00126F24"/>
    <w:rsid w:val="00130382"/>
    <w:rsid w:val="00136F09"/>
    <w:rsid w:val="00137C2C"/>
    <w:rsid w:val="001419EC"/>
    <w:rsid w:val="00144E66"/>
    <w:rsid w:val="0014501E"/>
    <w:rsid w:val="001577C6"/>
    <w:rsid w:val="00163F44"/>
    <w:rsid w:val="001671FA"/>
    <w:rsid w:val="0017537F"/>
    <w:rsid w:val="0017739D"/>
    <w:rsid w:val="00177AA9"/>
    <w:rsid w:val="00185E67"/>
    <w:rsid w:val="00186839"/>
    <w:rsid w:val="00197E09"/>
    <w:rsid w:val="001A2E39"/>
    <w:rsid w:val="001A30C3"/>
    <w:rsid w:val="001A56FA"/>
    <w:rsid w:val="001B34A2"/>
    <w:rsid w:val="001C07B5"/>
    <w:rsid w:val="001E0B22"/>
    <w:rsid w:val="001E3ACA"/>
    <w:rsid w:val="001E432E"/>
    <w:rsid w:val="0020399D"/>
    <w:rsid w:val="00205FC6"/>
    <w:rsid w:val="002079F6"/>
    <w:rsid w:val="00210EEE"/>
    <w:rsid w:val="002234F5"/>
    <w:rsid w:val="00223902"/>
    <w:rsid w:val="00233F41"/>
    <w:rsid w:val="00236A7A"/>
    <w:rsid w:val="002377CA"/>
    <w:rsid w:val="002415C9"/>
    <w:rsid w:val="002520BC"/>
    <w:rsid w:val="00252B18"/>
    <w:rsid w:val="002538C7"/>
    <w:rsid w:val="00255B64"/>
    <w:rsid w:val="00260DB4"/>
    <w:rsid w:val="002628C3"/>
    <w:rsid w:val="0026792B"/>
    <w:rsid w:val="00270365"/>
    <w:rsid w:val="00271051"/>
    <w:rsid w:val="00294134"/>
    <w:rsid w:val="002A0106"/>
    <w:rsid w:val="002A0A83"/>
    <w:rsid w:val="002A6B78"/>
    <w:rsid w:val="002C2531"/>
    <w:rsid w:val="002C29A1"/>
    <w:rsid w:val="002C48D8"/>
    <w:rsid w:val="002C6C86"/>
    <w:rsid w:val="002D0821"/>
    <w:rsid w:val="002D7EA2"/>
    <w:rsid w:val="002E4F0D"/>
    <w:rsid w:val="002E77E4"/>
    <w:rsid w:val="002F0538"/>
    <w:rsid w:val="002F7630"/>
    <w:rsid w:val="00303008"/>
    <w:rsid w:val="00303CCC"/>
    <w:rsid w:val="00320099"/>
    <w:rsid w:val="00321459"/>
    <w:rsid w:val="00324B42"/>
    <w:rsid w:val="003301E6"/>
    <w:rsid w:val="003308B8"/>
    <w:rsid w:val="003313CD"/>
    <w:rsid w:val="00332723"/>
    <w:rsid w:val="00337EC2"/>
    <w:rsid w:val="00345284"/>
    <w:rsid w:val="00373F39"/>
    <w:rsid w:val="0038405F"/>
    <w:rsid w:val="003874D1"/>
    <w:rsid w:val="00390D08"/>
    <w:rsid w:val="00393E4D"/>
    <w:rsid w:val="003A6541"/>
    <w:rsid w:val="003B3AB5"/>
    <w:rsid w:val="003C0D5C"/>
    <w:rsid w:val="003C6AFC"/>
    <w:rsid w:val="003D15FC"/>
    <w:rsid w:val="003D2DF6"/>
    <w:rsid w:val="003D3225"/>
    <w:rsid w:val="003D3F4D"/>
    <w:rsid w:val="003E0AB3"/>
    <w:rsid w:val="003E2A83"/>
    <w:rsid w:val="003E4133"/>
    <w:rsid w:val="00401768"/>
    <w:rsid w:val="00401F31"/>
    <w:rsid w:val="0042064E"/>
    <w:rsid w:val="00421FB1"/>
    <w:rsid w:val="00424B8B"/>
    <w:rsid w:val="0043784F"/>
    <w:rsid w:val="0044115A"/>
    <w:rsid w:val="00451CEC"/>
    <w:rsid w:val="00452154"/>
    <w:rsid w:val="00457633"/>
    <w:rsid w:val="00460D41"/>
    <w:rsid w:val="00471497"/>
    <w:rsid w:val="0047731C"/>
    <w:rsid w:val="0048016E"/>
    <w:rsid w:val="004856F9"/>
    <w:rsid w:val="004859FE"/>
    <w:rsid w:val="00493100"/>
    <w:rsid w:val="004A0F78"/>
    <w:rsid w:val="004A2E44"/>
    <w:rsid w:val="004A7C06"/>
    <w:rsid w:val="004B0C4B"/>
    <w:rsid w:val="004B11BC"/>
    <w:rsid w:val="004B2F4A"/>
    <w:rsid w:val="004B3312"/>
    <w:rsid w:val="004B576C"/>
    <w:rsid w:val="004B6A10"/>
    <w:rsid w:val="004E01BA"/>
    <w:rsid w:val="004E2FE2"/>
    <w:rsid w:val="004E5FB1"/>
    <w:rsid w:val="004F5B8F"/>
    <w:rsid w:val="00502F84"/>
    <w:rsid w:val="00531136"/>
    <w:rsid w:val="00531B7F"/>
    <w:rsid w:val="00546D48"/>
    <w:rsid w:val="00550219"/>
    <w:rsid w:val="00553ABE"/>
    <w:rsid w:val="00554058"/>
    <w:rsid w:val="00557F19"/>
    <w:rsid w:val="005646B9"/>
    <w:rsid w:val="00570C98"/>
    <w:rsid w:val="005732CC"/>
    <w:rsid w:val="00574F39"/>
    <w:rsid w:val="005759D5"/>
    <w:rsid w:val="00577733"/>
    <w:rsid w:val="0058011A"/>
    <w:rsid w:val="00580720"/>
    <w:rsid w:val="00584B2F"/>
    <w:rsid w:val="00591265"/>
    <w:rsid w:val="00596135"/>
    <w:rsid w:val="005A059B"/>
    <w:rsid w:val="005A1978"/>
    <w:rsid w:val="005A4F99"/>
    <w:rsid w:val="005B1BFF"/>
    <w:rsid w:val="005B5C34"/>
    <w:rsid w:val="005D4CF4"/>
    <w:rsid w:val="005D72A9"/>
    <w:rsid w:val="005D7A11"/>
    <w:rsid w:val="005E2BD3"/>
    <w:rsid w:val="005E49FB"/>
    <w:rsid w:val="005E7605"/>
    <w:rsid w:val="005F0383"/>
    <w:rsid w:val="00611AF0"/>
    <w:rsid w:val="0061200D"/>
    <w:rsid w:val="00612083"/>
    <w:rsid w:val="006240F7"/>
    <w:rsid w:val="00625804"/>
    <w:rsid w:val="00635A81"/>
    <w:rsid w:val="00641158"/>
    <w:rsid w:val="006417C2"/>
    <w:rsid w:val="00650172"/>
    <w:rsid w:val="00651675"/>
    <w:rsid w:val="00651916"/>
    <w:rsid w:val="00654B57"/>
    <w:rsid w:val="00655803"/>
    <w:rsid w:val="0065625D"/>
    <w:rsid w:val="00682C22"/>
    <w:rsid w:val="00696521"/>
    <w:rsid w:val="006A2A9C"/>
    <w:rsid w:val="006A42EE"/>
    <w:rsid w:val="006A70DE"/>
    <w:rsid w:val="006B3F91"/>
    <w:rsid w:val="006B4A74"/>
    <w:rsid w:val="006B5D35"/>
    <w:rsid w:val="006B65BE"/>
    <w:rsid w:val="006D5E32"/>
    <w:rsid w:val="006D79D8"/>
    <w:rsid w:val="006E1223"/>
    <w:rsid w:val="006E2ABD"/>
    <w:rsid w:val="006E438A"/>
    <w:rsid w:val="006E6629"/>
    <w:rsid w:val="006F0350"/>
    <w:rsid w:val="00702D9E"/>
    <w:rsid w:val="007078E8"/>
    <w:rsid w:val="0071036F"/>
    <w:rsid w:val="007215DF"/>
    <w:rsid w:val="00722B95"/>
    <w:rsid w:val="0072428C"/>
    <w:rsid w:val="00741308"/>
    <w:rsid w:val="00741B9D"/>
    <w:rsid w:val="00742A03"/>
    <w:rsid w:val="00747352"/>
    <w:rsid w:val="0075012F"/>
    <w:rsid w:val="00754488"/>
    <w:rsid w:val="00754853"/>
    <w:rsid w:val="00757F22"/>
    <w:rsid w:val="00765EF1"/>
    <w:rsid w:val="00771242"/>
    <w:rsid w:val="007731C3"/>
    <w:rsid w:val="007741DE"/>
    <w:rsid w:val="00774200"/>
    <w:rsid w:val="00777981"/>
    <w:rsid w:val="00780B1D"/>
    <w:rsid w:val="00783975"/>
    <w:rsid w:val="0079044C"/>
    <w:rsid w:val="00794D46"/>
    <w:rsid w:val="007A03C6"/>
    <w:rsid w:val="007A64DA"/>
    <w:rsid w:val="007B586D"/>
    <w:rsid w:val="007B591A"/>
    <w:rsid w:val="007B76B6"/>
    <w:rsid w:val="007C1D93"/>
    <w:rsid w:val="007C54A8"/>
    <w:rsid w:val="007D2438"/>
    <w:rsid w:val="007E0ACC"/>
    <w:rsid w:val="007E0D95"/>
    <w:rsid w:val="007E39B2"/>
    <w:rsid w:val="007E49CC"/>
    <w:rsid w:val="00801D91"/>
    <w:rsid w:val="0080777F"/>
    <w:rsid w:val="00822C51"/>
    <w:rsid w:val="00834A65"/>
    <w:rsid w:val="008402E6"/>
    <w:rsid w:val="008449D2"/>
    <w:rsid w:val="008520A9"/>
    <w:rsid w:val="00864D36"/>
    <w:rsid w:val="00865F86"/>
    <w:rsid w:val="00866771"/>
    <w:rsid w:val="00882D9A"/>
    <w:rsid w:val="0088582F"/>
    <w:rsid w:val="00891B2B"/>
    <w:rsid w:val="00896339"/>
    <w:rsid w:val="00896723"/>
    <w:rsid w:val="00896C24"/>
    <w:rsid w:val="008A0C89"/>
    <w:rsid w:val="008B0193"/>
    <w:rsid w:val="008B3766"/>
    <w:rsid w:val="008B765D"/>
    <w:rsid w:val="008C5CA3"/>
    <w:rsid w:val="008D67FA"/>
    <w:rsid w:val="008E03EA"/>
    <w:rsid w:val="008E256D"/>
    <w:rsid w:val="008E2C3B"/>
    <w:rsid w:val="008E56FA"/>
    <w:rsid w:val="008E74DC"/>
    <w:rsid w:val="008E7534"/>
    <w:rsid w:val="008E7E44"/>
    <w:rsid w:val="008F7502"/>
    <w:rsid w:val="00900132"/>
    <w:rsid w:val="00907803"/>
    <w:rsid w:val="00916B74"/>
    <w:rsid w:val="009231F1"/>
    <w:rsid w:val="009274C9"/>
    <w:rsid w:val="0093016D"/>
    <w:rsid w:val="009333C0"/>
    <w:rsid w:val="00935CD2"/>
    <w:rsid w:val="0094778D"/>
    <w:rsid w:val="0095097D"/>
    <w:rsid w:val="00957642"/>
    <w:rsid w:val="00963767"/>
    <w:rsid w:val="00963CBF"/>
    <w:rsid w:val="009665DB"/>
    <w:rsid w:val="009A4FDB"/>
    <w:rsid w:val="009A508B"/>
    <w:rsid w:val="009A558E"/>
    <w:rsid w:val="009B012D"/>
    <w:rsid w:val="009B0644"/>
    <w:rsid w:val="009B434B"/>
    <w:rsid w:val="009C2406"/>
    <w:rsid w:val="009C366C"/>
    <w:rsid w:val="009C4FE6"/>
    <w:rsid w:val="009C7C05"/>
    <w:rsid w:val="009E5169"/>
    <w:rsid w:val="009E6238"/>
    <w:rsid w:val="009F1ED3"/>
    <w:rsid w:val="009F7C58"/>
    <w:rsid w:val="00A01B71"/>
    <w:rsid w:val="00A02901"/>
    <w:rsid w:val="00A0343E"/>
    <w:rsid w:val="00A064FB"/>
    <w:rsid w:val="00A1492F"/>
    <w:rsid w:val="00A21921"/>
    <w:rsid w:val="00A2590C"/>
    <w:rsid w:val="00A356D9"/>
    <w:rsid w:val="00A41B5D"/>
    <w:rsid w:val="00A51A7D"/>
    <w:rsid w:val="00A52F65"/>
    <w:rsid w:val="00A53819"/>
    <w:rsid w:val="00A55DBF"/>
    <w:rsid w:val="00A672A2"/>
    <w:rsid w:val="00A70224"/>
    <w:rsid w:val="00A75FD2"/>
    <w:rsid w:val="00A923E1"/>
    <w:rsid w:val="00A97B33"/>
    <w:rsid w:val="00AA0C1F"/>
    <w:rsid w:val="00AA1E21"/>
    <w:rsid w:val="00AD1444"/>
    <w:rsid w:val="00AD422B"/>
    <w:rsid w:val="00AD5A9C"/>
    <w:rsid w:val="00AF4470"/>
    <w:rsid w:val="00AF5D53"/>
    <w:rsid w:val="00AF6501"/>
    <w:rsid w:val="00AF6E8C"/>
    <w:rsid w:val="00B00859"/>
    <w:rsid w:val="00B01A5A"/>
    <w:rsid w:val="00B029DA"/>
    <w:rsid w:val="00B13F95"/>
    <w:rsid w:val="00B212C7"/>
    <w:rsid w:val="00B25873"/>
    <w:rsid w:val="00B449EC"/>
    <w:rsid w:val="00B5498E"/>
    <w:rsid w:val="00B54F33"/>
    <w:rsid w:val="00B57EA9"/>
    <w:rsid w:val="00B6331C"/>
    <w:rsid w:val="00B80CB2"/>
    <w:rsid w:val="00B82DF0"/>
    <w:rsid w:val="00B82FDA"/>
    <w:rsid w:val="00B8522F"/>
    <w:rsid w:val="00BA4997"/>
    <w:rsid w:val="00BA6698"/>
    <w:rsid w:val="00BB39F8"/>
    <w:rsid w:val="00BC4ACC"/>
    <w:rsid w:val="00BD2160"/>
    <w:rsid w:val="00BD7110"/>
    <w:rsid w:val="00BE246D"/>
    <w:rsid w:val="00BF7318"/>
    <w:rsid w:val="00C02AB5"/>
    <w:rsid w:val="00C12ED1"/>
    <w:rsid w:val="00C146BF"/>
    <w:rsid w:val="00C2392C"/>
    <w:rsid w:val="00C343D5"/>
    <w:rsid w:val="00C446BF"/>
    <w:rsid w:val="00C449B8"/>
    <w:rsid w:val="00C53C5D"/>
    <w:rsid w:val="00C56BF1"/>
    <w:rsid w:val="00C6004A"/>
    <w:rsid w:val="00C61A5F"/>
    <w:rsid w:val="00C7384A"/>
    <w:rsid w:val="00C7645A"/>
    <w:rsid w:val="00C775CE"/>
    <w:rsid w:val="00C81F4A"/>
    <w:rsid w:val="00C82052"/>
    <w:rsid w:val="00C8269B"/>
    <w:rsid w:val="00C87B41"/>
    <w:rsid w:val="00C92A36"/>
    <w:rsid w:val="00CA085B"/>
    <w:rsid w:val="00CA1FB3"/>
    <w:rsid w:val="00CA3086"/>
    <w:rsid w:val="00CB6844"/>
    <w:rsid w:val="00CC0674"/>
    <w:rsid w:val="00CC1A90"/>
    <w:rsid w:val="00CC1AC2"/>
    <w:rsid w:val="00CC4869"/>
    <w:rsid w:val="00CC568A"/>
    <w:rsid w:val="00CD4272"/>
    <w:rsid w:val="00CD6B5C"/>
    <w:rsid w:val="00CE57A6"/>
    <w:rsid w:val="00CE6239"/>
    <w:rsid w:val="00CF2289"/>
    <w:rsid w:val="00CF3A50"/>
    <w:rsid w:val="00D0677B"/>
    <w:rsid w:val="00D13AA4"/>
    <w:rsid w:val="00D16B3A"/>
    <w:rsid w:val="00D240F4"/>
    <w:rsid w:val="00D317D5"/>
    <w:rsid w:val="00D32B34"/>
    <w:rsid w:val="00D37518"/>
    <w:rsid w:val="00D407EA"/>
    <w:rsid w:val="00D43487"/>
    <w:rsid w:val="00D471A1"/>
    <w:rsid w:val="00D47441"/>
    <w:rsid w:val="00D57A8D"/>
    <w:rsid w:val="00D619F4"/>
    <w:rsid w:val="00D81087"/>
    <w:rsid w:val="00D812AF"/>
    <w:rsid w:val="00D81A4B"/>
    <w:rsid w:val="00D83470"/>
    <w:rsid w:val="00D84133"/>
    <w:rsid w:val="00D92BA3"/>
    <w:rsid w:val="00D93D8D"/>
    <w:rsid w:val="00D953F0"/>
    <w:rsid w:val="00D95A18"/>
    <w:rsid w:val="00DB03A8"/>
    <w:rsid w:val="00DB35E6"/>
    <w:rsid w:val="00DC6263"/>
    <w:rsid w:val="00DD0BD5"/>
    <w:rsid w:val="00DD1DA3"/>
    <w:rsid w:val="00DD3E54"/>
    <w:rsid w:val="00DD4711"/>
    <w:rsid w:val="00DF2C60"/>
    <w:rsid w:val="00DF4F38"/>
    <w:rsid w:val="00E06346"/>
    <w:rsid w:val="00E074DD"/>
    <w:rsid w:val="00E1227A"/>
    <w:rsid w:val="00E124C0"/>
    <w:rsid w:val="00E14BA5"/>
    <w:rsid w:val="00E21949"/>
    <w:rsid w:val="00E3255C"/>
    <w:rsid w:val="00E33455"/>
    <w:rsid w:val="00E363B2"/>
    <w:rsid w:val="00E4311A"/>
    <w:rsid w:val="00E5134B"/>
    <w:rsid w:val="00E51A52"/>
    <w:rsid w:val="00E526BB"/>
    <w:rsid w:val="00E64DEC"/>
    <w:rsid w:val="00E6634A"/>
    <w:rsid w:val="00E750F4"/>
    <w:rsid w:val="00E770B1"/>
    <w:rsid w:val="00E87F50"/>
    <w:rsid w:val="00E92EA4"/>
    <w:rsid w:val="00E9640A"/>
    <w:rsid w:val="00EA5F79"/>
    <w:rsid w:val="00EA6071"/>
    <w:rsid w:val="00EB1DF2"/>
    <w:rsid w:val="00EB5B42"/>
    <w:rsid w:val="00EC07B5"/>
    <w:rsid w:val="00EC441B"/>
    <w:rsid w:val="00ED1684"/>
    <w:rsid w:val="00EE00C5"/>
    <w:rsid w:val="00EE094C"/>
    <w:rsid w:val="00EE44CD"/>
    <w:rsid w:val="00F00E98"/>
    <w:rsid w:val="00F10F41"/>
    <w:rsid w:val="00F13EAA"/>
    <w:rsid w:val="00F31FAB"/>
    <w:rsid w:val="00F32733"/>
    <w:rsid w:val="00F34208"/>
    <w:rsid w:val="00F442E0"/>
    <w:rsid w:val="00F470EF"/>
    <w:rsid w:val="00F57EB3"/>
    <w:rsid w:val="00F60769"/>
    <w:rsid w:val="00F607F1"/>
    <w:rsid w:val="00F6541C"/>
    <w:rsid w:val="00F67E0C"/>
    <w:rsid w:val="00F708FD"/>
    <w:rsid w:val="00F70A3F"/>
    <w:rsid w:val="00F76936"/>
    <w:rsid w:val="00F81401"/>
    <w:rsid w:val="00F919A0"/>
    <w:rsid w:val="00F923C1"/>
    <w:rsid w:val="00FA6484"/>
    <w:rsid w:val="00FB4160"/>
    <w:rsid w:val="00FC77BD"/>
    <w:rsid w:val="00FD6A7D"/>
    <w:rsid w:val="00FE206F"/>
    <w:rsid w:val="00FE214B"/>
    <w:rsid w:val="00FF019E"/>
    <w:rsid w:val="00FF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AC2C5"/>
  <w15:chartTrackingRefBased/>
  <w15:docId w15:val="{C133BD35-EC4E-4E56-9A7C-7AA2948E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val="it-IT"/>
    </w:rPr>
  </w:style>
  <w:style w:type="paragraph" w:styleId="Titolo1">
    <w:name w:val="heading 1"/>
    <w:basedOn w:val="Normale"/>
    <w:link w:val="Titolo1Carattere"/>
    <w:uiPriority w:val="9"/>
    <w:qFormat/>
    <w:rsid w:val="00B029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029DA"/>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B029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0F76CB"/>
    <w:rPr>
      <w:color w:val="0563C1"/>
      <w:u w:val="single"/>
    </w:rPr>
  </w:style>
  <w:style w:type="character" w:customStyle="1" w:styleId="hps">
    <w:name w:val="hps"/>
    <w:basedOn w:val="Carpredefinitoparagrafo"/>
    <w:rsid w:val="000F76CB"/>
  </w:style>
  <w:style w:type="paragraph" w:styleId="Testofumetto">
    <w:name w:val="Balloon Text"/>
    <w:basedOn w:val="Normale"/>
    <w:link w:val="TestofumettoCarattere"/>
    <w:uiPriority w:val="99"/>
    <w:semiHidden/>
    <w:unhideWhenUsed/>
    <w:rsid w:val="002D7EA2"/>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2D7EA2"/>
    <w:rPr>
      <w:rFonts w:ascii="Segoe UI" w:hAnsi="Segoe UI" w:cs="Segoe UI"/>
      <w:sz w:val="18"/>
      <w:szCs w:val="18"/>
    </w:rPr>
  </w:style>
  <w:style w:type="paragraph" w:styleId="Revisione">
    <w:name w:val="Revision"/>
    <w:hidden/>
    <w:uiPriority w:val="99"/>
    <w:semiHidden/>
    <w:rsid w:val="00FA6484"/>
    <w:rPr>
      <w:sz w:val="22"/>
      <w:szCs w:val="22"/>
      <w:lang w:val="it-IT"/>
    </w:rPr>
  </w:style>
  <w:style w:type="character" w:customStyle="1" w:styleId="UnresolvedMention1">
    <w:name w:val="Unresolved Mention1"/>
    <w:uiPriority w:val="99"/>
    <w:semiHidden/>
    <w:unhideWhenUsed/>
    <w:rsid w:val="00421FB1"/>
    <w:rPr>
      <w:color w:val="605E5C"/>
      <w:shd w:val="clear" w:color="auto" w:fill="E1DFDD"/>
    </w:rPr>
  </w:style>
  <w:style w:type="character" w:customStyle="1" w:styleId="UnresolvedMention2">
    <w:name w:val="Unresolved Mention2"/>
    <w:uiPriority w:val="99"/>
    <w:rsid w:val="00502F84"/>
    <w:rPr>
      <w:color w:val="605E5C"/>
      <w:shd w:val="clear" w:color="auto" w:fill="E1DFDD"/>
    </w:rPr>
  </w:style>
  <w:style w:type="paragraph" w:styleId="Testonotaapidipagina">
    <w:name w:val="footnote text"/>
    <w:basedOn w:val="Normale"/>
    <w:link w:val="TestonotaapidipaginaCarattere"/>
    <w:uiPriority w:val="99"/>
    <w:semiHidden/>
    <w:unhideWhenUsed/>
    <w:rsid w:val="00CA3086"/>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CA3086"/>
    <w:rPr>
      <w:sz w:val="20"/>
      <w:szCs w:val="20"/>
    </w:rPr>
  </w:style>
  <w:style w:type="character" w:styleId="Rimandonotaapidipagina">
    <w:name w:val="footnote reference"/>
    <w:uiPriority w:val="99"/>
    <w:semiHidden/>
    <w:unhideWhenUsed/>
    <w:rsid w:val="00CA3086"/>
    <w:rPr>
      <w:vertAlign w:val="superscript"/>
    </w:rPr>
  </w:style>
  <w:style w:type="paragraph" w:styleId="Paragrafoelenco">
    <w:name w:val="List Paragraph"/>
    <w:aliases w:val="1st Bullet Point,1° livello - elenchi puntati,Bullet List,Bullet OSM,Bulleted Text,Content,Elenco_1,FooterText,IPO List Paragraph,List Paragrap,Liste 1,Normal_bullet,Proposal Bullet List,Sub bullet,TOC style,Table,Testo elenco,d_bodyb"/>
    <w:basedOn w:val="Normale"/>
    <w:link w:val="ParagrafoelencoCarattere"/>
    <w:uiPriority w:val="34"/>
    <w:qFormat/>
    <w:rsid w:val="00185E67"/>
    <w:pPr>
      <w:ind w:left="720"/>
      <w:contextualSpacing/>
    </w:pPr>
  </w:style>
  <w:style w:type="paragraph" w:customStyle="1" w:styleId="Prospetto-Normaletesto">
    <w:name w:val="Prospetto - Normale testo"/>
    <w:basedOn w:val="Normale"/>
    <w:link w:val="Prospetto-NormaletestoCharChar"/>
    <w:uiPriority w:val="99"/>
    <w:qFormat/>
    <w:rsid w:val="006A70DE"/>
    <w:pPr>
      <w:spacing w:before="120" w:after="120" w:line="240" w:lineRule="auto"/>
      <w:jc w:val="both"/>
    </w:pPr>
    <w:rPr>
      <w:rFonts w:ascii="Garamond" w:eastAsia="EUAlbertina-Regular-Identity-H" w:hAnsi="Garamond" w:cs="Times New Roman"/>
      <w:color w:val="000000"/>
      <w:szCs w:val="20"/>
      <w:lang w:eastAsia="it-IT"/>
    </w:rPr>
  </w:style>
  <w:style w:type="character" w:customStyle="1" w:styleId="Prospetto-NormaletestoCharChar">
    <w:name w:val="Prospetto - Normale testo Char Char"/>
    <w:link w:val="Prospetto-Normaletesto"/>
    <w:uiPriority w:val="99"/>
    <w:locked/>
    <w:rsid w:val="006A70DE"/>
    <w:rPr>
      <w:rFonts w:ascii="Garamond" w:eastAsia="EUAlbertina-Regular-Identity-H" w:hAnsi="Garamond" w:cs="Times New Roman"/>
      <w:color w:val="000000"/>
      <w:szCs w:val="20"/>
      <w:lang w:eastAsia="it-IT"/>
    </w:rPr>
  </w:style>
  <w:style w:type="character" w:customStyle="1" w:styleId="ParagrafoelencoCarattere">
    <w:name w:val="Paragrafo elenco Carattere"/>
    <w:aliases w:val="1st Bullet Point Carattere,1° livello - elenchi puntati Carattere,Bullet List Carattere,Bullet OSM Carattere,Bulleted Text Carattere,Content Carattere,Elenco_1 Carattere,FooterText Carattere,IPO List Paragraph Carattere"/>
    <w:link w:val="Paragrafoelenco"/>
    <w:uiPriority w:val="34"/>
    <w:qFormat/>
    <w:locked/>
    <w:rsid w:val="006A70DE"/>
  </w:style>
  <w:style w:type="character" w:customStyle="1" w:styleId="UnresolvedMention3">
    <w:name w:val="Unresolved Mention3"/>
    <w:uiPriority w:val="99"/>
    <w:rsid w:val="00A356D9"/>
    <w:rPr>
      <w:color w:val="605E5C"/>
      <w:shd w:val="clear" w:color="auto" w:fill="E1DFDD"/>
    </w:rPr>
  </w:style>
  <w:style w:type="paragraph" w:styleId="Intestazione">
    <w:name w:val="header"/>
    <w:basedOn w:val="Normale"/>
    <w:link w:val="IntestazioneCarattere"/>
    <w:uiPriority w:val="99"/>
    <w:unhideWhenUsed/>
    <w:rsid w:val="00D317D5"/>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317D5"/>
  </w:style>
  <w:style w:type="paragraph" w:styleId="Pidipagina">
    <w:name w:val="footer"/>
    <w:basedOn w:val="Normale"/>
    <w:link w:val="PidipaginaCarattere"/>
    <w:uiPriority w:val="99"/>
    <w:unhideWhenUsed/>
    <w:rsid w:val="00D317D5"/>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D317D5"/>
  </w:style>
  <w:style w:type="paragraph" w:customStyle="1" w:styleId="Default">
    <w:name w:val="Default"/>
    <w:rsid w:val="00D83470"/>
    <w:pPr>
      <w:autoSpaceDE w:val="0"/>
      <w:autoSpaceDN w:val="0"/>
      <w:adjustRightInd w:val="0"/>
    </w:pPr>
    <w:rPr>
      <w:rFonts w:cs="Calibri"/>
      <w:color w:val="000000"/>
      <w:sz w:val="24"/>
      <w:szCs w:val="24"/>
    </w:rPr>
  </w:style>
  <w:style w:type="character" w:customStyle="1" w:styleId="UnresolvedMention4">
    <w:name w:val="Unresolved Mention4"/>
    <w:basedOn w:val="Carpredefinitoparagrafo"/>
    <w:uiPriority w:val="99"/>
    <w:rsid w:val="007078E8"/>
    <w:rPr>
      <w:color w:val="605E5C"/>
      <w:shd w:val="clear" w:color="auto" w:fill="E1DFDD"/>
    </w:rPr>
  </w:style>
  <w:style w:type="table" w:styleId="Grigliatabella">
    <w:name w:val="Table Grid"/>
    <w:aliases w:val="CV table"/>
    <w:basedOn w:val="Tabellanormale"/>
    <w:uiPriority w:val="59"/>
    <w:rsid w:val="002079F6"/>
    <w:pPr>
      <w:tabs>
        <w:tab w:val="left" w:pos="360"/>
      </w:tabs>
      <w:spacing w:before="40" w:after="40"/>
      <w:jc w:val="center"/>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colombo@generalfinance.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eneralfinance.it" TargetMode="External"/><Relationship Id="rId17" Type="http://schemas.openxmlformats.org/officeDocument/2006/relationships/hyperlink" Target="http://www.generalfinance.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eneralfinance.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ommaso.accomanno@cominandpartners.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lio.alfonso@cominandpartners.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07CA0850D0A64289F7A6AF73509B1D" ma:contentTypeVersion="10" ma:contentTypeDescription="Creare un nuovo documento." ma:contentTypeScope="" ma:versionID="fe5fb49048b0aeee4290f23de4008dcf">
  <xsd:schema xmlns:xsd="http://www.w3.org/2001/XMLSchema" xmlns:xs="http://www.w3.org/2001/XMLSchema" xmlns:p="http://schemas.microsoft.com/office/2006/metadata/properties" xmlns:ns3="df8805fa-604b-46d7-897d-86bc37d3218c" targetNamespace="http://schemas.microsoft.com/office/2006/metadata/properties" ma:root="true" ma:fieldsID="a442c0923bf9742bebdd276152446f33" ns3:_="">
    <xsd:import namespace="df8805fa-604b-46d7-897d-86bc37d321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805fa-604b-46d7-897d-86bc37d32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DC603-6A6F-4999-B388-B786A8327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805fa-604b-46d7-897d-86bc37d32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777EE-D939-45DC-A3A5-D88FBC5492A8}">
  <ds:schemaRefs>
    <ds:schemaRef ds:uri="http://schemas.microsoft.com/sharepoint/v3/contenttype/forms"/>
  </ds:schemaRefs>
</ds:datastoreItem>
</file>

<file path=customXml/itemProps3.xml><?xml version="1.0" encoding="utf-8"?>
<ds:datastoreItem xmlns:ds="http://schemas.openxmlformats.org/officeDocument/2006/customXml" ds:itemID="{C858472F-D222-47D4-B441-0207EEFE42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0ADE87-7460-431A-A534-1C6BB77A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3007</Words>
  <Characters>17145</Characters>
  <Application>Microsoft Office Word</Application>
  <DocSecurity>0</DocSecurity>
  <Lines>142</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Ugo Colombo</dc:creator>
  <cp:keywords>[SEC=Internal]</cp:keywords>
  <cp:lastModifiedBy>taccomanno</cp:lastModifiedBy>
  <cp:revision>2</cp:revision>
  <cp:lastPrinted>2022-06-14T22:05:00Z</cp:lastPrinted>
  <dcterms:created xsi:type="dcterms:W3CDTF">2022-06-24T08:21:00Z</dcterms:created>
  <dcterms:modified xsi:type="dcterms:W3CDTF">2022-06-24T08:21:00Z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10524362</vt:lpwstr>
  </property>
  <property fmtid="{D5CDD505-2E9C-101B-9397-08002B2CF9AE}" pid="3" name="ContentTypeId">
    <vt:lpwstr>0x010100EE07CA0850D0A64289F7A6AF73509B1D</vt:lpwstr>
  </property>
  <property fmtid="{D5CDD505-2E9C-101B-9397-08002B2CF9AE}" pid="4" name="DEDocumentLocation">
    <vt:lpwstr>C:\Users\mpozzi\AppData\Local\Linklaters\DocExplorer\Attachments\Project Craft - Comunicato stampa - Intention to float.docx</vt:lpwstr>
  </property>
  <property fmtid="{D5CDD505-2E9C-101B-9397-08002B2CF9AE}" pid="5" name="Document Number">
    <vt:lpwstr>A47958903</vt:lpwstr>
  </property>
  <property fmtid="{D5CDD505-2E9C-101B-9397-08002B2CF9AE}" pid="6" name="Last Modified">
    <vt:lpwstr>16 May 2022</vt:lpwstr>
  </property>
  <property fmtid="{D5CDD505-2E9C-101B-9397-08002B2CF9AE}" pid="7" name="Matter Number">
    <vt:lpwstr>L-305143</vt:lpwstr>
  </property>
  <property fmtid="{D5CDD505-2E9C-101B-9397-08002B2CF9AE}" pid="8" name="Mode">
    <vt:lpwstr>SendAs</vt:lpwstr>
  </property>
  <property fmtid="{D5CDD505-2E9C-101B-9397-08002B2CF9AE}" pid="9" name="MSIP_Label_5f5fe31f-9de1-4167-a753-111c0df8115f_ActionId">
    <vt:lpwstr>fd7e4a95-e785-4b69-8eca-973a71e46b6d</vt:lpwstr>
  </property>
  <property fmtid="{D5CDD505-2E9C-101B-9397-08002B2CF9AE}" pid="10" name="MSIP_Label_5f5fe31f-9de1-4167-a753-111c0df8115f_Application">
    <vt:lpwstr>Microsoft Azure Information Protection</vt:lpwstr>
  </property>
  <property fmtid="{D5CDD505-2E9C-101B-9397-08002B2CF9AE}" pid="11" name="MSIP_Label_5f5fe31f-9de1-4167-a753-111c0df8115f_Enabled">
    <vt:lpwstr>True</vt:lpwstr>
  </property>
  <property fmtid="{D5CDD505-2E9C-101B-9397-08002B2CF9AE}" pid="12" name="MSIP_Label_5f5fe31f-9de1-4167-a753-111c0df8115f_Extended_MSFT_Method">
    <vt:lpwstr>Automatic</vt:lpwstr>
  </property>
  <property fmtid="{D5CDD505-2E9C-101B-9397-08002B2CF9AE}" pid="13" name="MSIP_Label_5f5fe31f-9de1-4167-a753-111c0df8115f_Name">
    <vt:lpwstr>Public</vt:lpwstr>
  </property>
  <property fmtid="{D5CDD505-2E9C-101B-9397-08002B2CF9AE}" pid="14" name="MSIP_Label_5f5fe31f-9de1-4167-a753-111c0df8115f_Owner">
    <vt:lpwstr>michela.garnerone@intesasanpaolo.com</vt:lpwstr>
  </property>
  <property fmtid="{D5CDD505-2E9C-101B-9397-08002B2CF9AE}" pid="15" name="MSIP_Label_5f5fe31f-9de1-4167-a753-111c0df8115f_SetDate">
    <vt:lpwstr>2022-06-23T18:39:50.5409239Z</vt:lpwstr>
  </property>
  <property fmtid="{D5CDD505-2E9C-101B-9397-08002B2CF9AE}" pid="16" name="MSIP_Label_5f5fe31f-9de1-4167-a753-111c0df8115f_SiteId">
    <vt:lpwstr>cc4baf00-15c9-48dd-9f59-88c98bde2be7</vt:lpwstr>
  </property>
  <property fmtid="{D5CDD505-2E9C-101B-9397-08002B2CF9AE}" pid="17" name="MSIP_Label_8a7ae6a5-d233-4e05-aeee-579a99102c31_ActionId">
    <vt:lpwstr>c9ef842e-36bb-4f5e-9097-c3e8c80ee0dc</vt:lpwstr>
  </property>
  <property fmtid="{D5CDD505-2E9C-101B-9397-08002B2CF9AE}" pid="18" name="MSIP_Label_8a7ae6a5-d233-4e05-aeee-579a99102c31_Enabled">
    <vt:lpwstr>True</vt:lpwstr>
  </property>
  <property fmtid="{D5CDD505-2E9C-101B-9397-08002B2CF9AE}" pid="19" name="MSIP_Label_8a7ae6a5-d233-4e05-aeee-579a99102c31_Extended_MSFT_Method">
    <vt:lpwstr>Manual</vt:lpwstr>
  </property>
  <property fmtid="{D5CDD505-2E9C-101B-9397-08002B2CF9AE}" pid="20" name="MSIP_Label_8a7ae6a5-d233-4e05-aeee-579a99102c31_Name">
    <vt:lpwstr>Strettamente riservato</vt:lpwstr>
  </property>
  <property fmtid="{D5CDD505-2E9C-101B-9397-08002B2CF9AE}" pid="21" name="MSIP_Label_8a7ae6a5-d233-4e05-aeee-579a99102c31_SetDate">
    <vt:lpwstr>2022-06-23T17:26:34Z</vt:lpwstr>
  </property>
  <property fmtid="{D5CDD505-2E9C-101B-9397-08002B2CF9AE}" pid="22" name="MSIP_Label_8a7ae6a5-d233-4e05-aeee-579a99102c31_SiteId">
    <vt:lpwstr>dfe794a4-c273-408a-92de-2566d5a8e56b</vt:lpwstr>
  </property>
  <property fmtid="{D5CDD505-2E9C-101B-9397-08002B2CF9AE}" pid="23" name="ObjectID">
    <vt:lpwstr>09001dc897438de4</vt:lpwstr>
  </property>
  <property fmtid="{D5CDD505-2E9C-101B-9397-08002B2CF9AE}" pid="24" name="PM_Caveats_Count">
    <vt:lpwstr>0</vt:lpwstr>
  </property>
  <property fmtid="{D5CDD505-2E9C-101B-9397-08002B2CF9AE}" pid="25" name="PM_DisplayValueSecClassificationWithQualifier">
    <vt:lpwstr>Internal</vt:lpwstr>
  </property>
  <property fmtid="{D5CDD505-2E9C-101B-9397-08002B2CF9AE}" pid="26" name="PM_Hash_Salt">
    <vt:lpwstr>978D0C509916AC41057C7EE42BBF3DEE</vt:lpwstr>
  </property>
  <property fmtid="{D5CDD505-2E9C-101B-9397-08002B2CF9AE}" pid="27" name="PM_Hash_Salt_Prev">
    <vt:lpwstr>978D0C509916AC41057C7EE42BBF3DEE</vt:lpwstr>
  </property>
  <property fmtid="{D5CDD505-2E9C-101B-9397-08002B2CF9AE}" pid="28" name="PM_Hash_SHA1">
    <vt:lpwstr>03603DCC6641975381B43AD6D2BA56F0CEAF67BD</vt:lpwstr>
  </property>
  <property fmtid="{D5CDD505-2E9C-101B-9397-08002B2CF9AE}" pid="29" name="PM_Hash_Version">
    <vt:lpwstr>2016.1</vt:lpwstr>
  </property>
  <property fmtid="{D5CDD505-2E9C-101B-9397-08002B2CF9AE}" pid="30" name="PM_InsertionValue">
    <vt:lpwstr>Internal</vt:lpwstr>
  </property>
  <property fmtid="{D5CDD505-2E9C-101B-9397-08002B2CF9AE}" pid="31" name="PM_Namespace">
    <vt:lpwstr>2018.2.belex.com</vt:lpwstr>
  </property>
  <property fmtid="{D5CDD505-2E9C-101B-9397-08002B2CF9AE}" pid="32" name="PM_Originating_FileId">
    <vt:lpwstr>824622532ADA464089F986B09FCD6C0D</vt:lpwstr>
  </property>
  <property fmtid="{D5CDD505-2E9C-101B-9397-08002B2CF9AE}" pid="33" name="PM_OriginationTimeStamp">
    <vt:lpwstr>2021-09-23T15:34:11Z</vt:lpwstr>
  </property>
  <property fmtid="{D5CDD505-2E9C-101B-9397-08002B2CF9AE}" pid="34" name="PM_Originator_Hash_SHA1">
    <vt:lpwstr>17476DBD0DA8CC32F6EC53465A4E309A86196B3D</vt:lpwstr>
  </property>
  <property fmtid="{D5CDD505-2E9C-101B-9397-08002B2CF9AE}" pid="35" name="PM_ProtectiveMarkingImage_Footer">
    <vt:lpwstr>C:\Program Files (x86)\Common Files\janusNET Shared\janusSEAL\Images\DocumentSlashBlue.png</vt:lpwstr>
  </property>
  <property fmtid="{D5CDD505-2E9C-101B-9397-08002B2CF9AE}" pid="36" name="PM_ProtectiveMarkingImage_Header">
    <vt:lpwstr>C:\Program Files (x86)\Common Files\janusNET Shared\janusSEAL\Images\DocumentSlashBlue.png</vt:lpwstr>
  </property>
  <property fmtid="{D5CDD505-2E9C-101B-9397-08002B2CF9AE}" pid="37" name="PM_ProtectiveMarkingValue_Footer">
    <vt:lpwstr>Internal</vt:lpwstr>
  </property>
  <property fmtid="{D5CDD505-2E9C-101B-9397-08002B2CF9AE}" pid="38" name="PM_ProtectiveMarkingValue_Header">
    <vt:lpwstr>Internal</vt:lpwstr>
  </property>
  <property fmtid="{D5CDD505-2E9C-101B-9397-08002B2CF9AE}" pid="39" name="PM_Qualifier">
    <vt:lpwstr/>
  </property>
  <property fmtid="{D5CDD505-2E9C-101B-9397-08002B2CF9AE}" pid="40" name="PM_SecurityClassification">
    <vt:lpwstr>Internal</vt:lpwstr>
  </property>
  <property fmtid="{D5CDD505-2E9C-101B-9397-08002B2CF9AE}" pid="41" name="PM_Version">
    <vt:lpwstr>2005.6</vt:lpwstr>
  </property>
  <property fmtid="{D5CDD505-2E9C-101B-9397-08002B2CF9AE}" pid="42" name="Sensitivity">
    <vt:lpwstr>Public Strettamente riservato</vt:lpwstr>
  </property>
  <property fmtid="{D5CDD505-2E9C-101B-9397-08002B2CF9AE}" pid="43" name="Version">
    <vt:lpwstr>0.7</vt:lpwstr>
  </property>
  <property fmtid="{D5CDD505-2E9C-101B-9397-08002B2CF9AE}" pid="44" name="_MarkAsFinal">
    <vt:bool>false</vt:bool>
  </property>
  <property fmtid="{D5CDD505-2E9C-101B-9397-08002B2CF9AE}" pid="45" name="MSIP_Label_8a7ae6a5-d233-4e05-aeee-579a99102c31_ContentBits">
    <vt:lpwstr>1</vt:lpwstr>
  </property>
  <property fmtid="{D5CDD505-2E9C-101B-9397-08002B2CF9AE}" pid="46" name="MSIP_Label_8a7ae6a5-d233-4e05-aeee-579a99102c31_Method">
    <vt:lpwstr>Privileged</vt:lpwstr>
  </property>
</Properties>
</file>