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FC3A" w14:textId="40C7EB7F" w:rsidR="004D1D65" w:rsidRDefault="00756214" w:rsidP="004D1D65">
      <w:pPr>
        <w:jc w:val="center"/>
      </w:pPr>
      <w:r>
        <w:rPr>
          <w:noProof/>
          <w:sz w:val="44"/>
          <w:szCs w:val="44"/>
        </w:rPr>
        <w:drawing>
          <wp:anchor distT="0" distB="0" distL="114300" distR="114300" simplePos="0" relativeHeight="251661312" behindDoc="0" locked="0" layoutInCell="1" allowOverlap="1" wp14:anchorId="4A8F63F3" wp14:editId="5E80F0FD">
            <wp:simplePos x="0" y="0"/>
            <wp:positionH relativeFrom="margin">
              <wp:posOffset>-160020</wp:posOffset>
            </wp:positionH>
            <wp:positionV relativeFrom="paragraph">
              <wp:posOffset>175895</wp:posOffset>
            </wp:positionV>
            <wp:extent cx="2236470" cy="37528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6470" cy="375285"/>
                    </a:xfrm>
                    <a:prstGeom prst="rect">
                      <a:avLst/>
                    </a:prstGeom>
                    <a:noFill/>
                  </pic:spPr>
                </pic:pic>
              </a:graphicData>
            </a:graphic>
            <wp14:sizeRelH relativeFrom="margin">
              <wp14:pctWidth>0</wp14:pctWidth>
            </wp14:sizeRelH>
          </wp:anchor>
        </w:drawing>
      </w:r>
      <w:r w:rsidR="007E61C3">
        <w:rPr>
          <w:b/>
          <w:bCs/>
          <w:noProof/>
          <w:sz w:val="32"/>
          <w:szCs w:val="32"/>
        </w:rPr>
        <w:drawing>
          <wp:anchor distT="0" distB="0" distL="114300" distR="114300" simplePos="0" relativeHeight="251660288" behindDoc="1" locked="0" layoutInCell="1" allowOverlap="1" wp14:anchorId="5FF3C907" wp14:editId="4A50D98C">
            <wp:simplePos x="0" y="0"/>
            <wp:positionH relativeFrom="column">
              <wp:posOffset>4686300</wp:posOffset>
            </wp:positionH>
            <wp:positionV relativeFrom="paragraph">
              <wp:posOffset>172085</wp:posOffset>
            </wp:positionV>
            <wp:extent cx="1054100" cy="736600"/>
            <wp:effectExtent l="0" t="0" r="0" b="0"/>
            <wp:wrapTight wrapText="bothSides">
              <wp:wrapPolygon edited="0">
                <wp:start x="10930" y="1676"/>
                <wp:lineTo x="0" y="4469"/>
                <wp:lineTo x="0" y="8938"/>
                <wp:lineTo x="781" y="11172"/>
                <wp:lineTo x="16786" y="11172"/>
                <wp:lineTo x="21080" y="10055"/>
                <wp:lineTo x="21080" y="4469"/>
                <wp:lineTo x="14834" y="1676"/>
                <wp:lineTo x="10930" y="1676"/>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470" t="28395"/>
                    <a:stretch/>
                  </pic:blipFill>
                  <pic:spPr bwMode="auto">
                    <a:xfrm>
                      <a:off x="0" y="0"/>
                      <a:ext cx="1054100" cy="736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1C3">
        <w:rPr>
          <w:noProof/>
        </w:rPr>
        <w:drawing>
          <wp:anchor distT="0" distB="0" distL="114300" distR="114300" simplePos="0" relativeHeight="251659264" behindDoc="1" locked="0" layoutInCell="1" allowOverlap="1" wp14:anchorId="229E0D2C" wp14:editId="50A2508F">
            <wp:simplePos x="0" y="0"/>
            <wp:positionH relativeFrom="column">
              <wp:posOffset>2736752</wp:posOffset>
            </wp:positionH>
            <wp:positionV relativeFrom="paragraph">
              <wp:posOffset>95787</wp:posOffset>
            </wp:positionV>
            <wp:extent cx="1003300" cy="501650"/>
            <wp:effectExtent l="0" t="0" r="6350" b="0"/>
            <wp:wrapTight wrapText="bothSides">
              <wp:wrapPolygon edited="0">
                <wp:start x="0" y="0"/>
                <wp:lineTo x="0" y="20506"/>
                <wp:lineTo x="21327" y="20506"/>
                <wp:lineTo x="2132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045" t="29674"/>
                    <a:stretch/>
                  </pic:blipFill>
                  <pic:spPr bwMode="auto">
                    <a:xfrm>
                      <a:off x="0" y="0"/>
                      <a:ext cx="1003300" cy="50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F8AC84" w14:textId="7DD9AB35" w:rsidR="006C5C65" w:rsidRDefault="006C5C65" w:rsidP="006C5C65">
      <w:pPr>
        <w:jc w:val="center"/>
        <w:rPr>
          <w:b/>
          <w:bCs/>
          <w:sz w:val="32"/>
          <w:szCs w:val="32"/>
        </w:rPr>
      </w:pPr>
    </w:p>
    <w:p w14:paraId="6BE355B4" w14:textId="124F3F9D" w:rsidR="006C5C65" w:rsidRDefault="001F6784" w:rsidP="006C5C65">
      <w:pPr>
        <w:jc w:val="center"/>
        <w:rPr>
          <w:b/>
          <w:bCs/>
          <w:sz w:val="32"/>
          <w:szCs w:val="32"/>
        </w:rPr>
      </w:pPr>
      <w:r>
        <w:rPr>
          <w:noProof/>
        </w:rPr>
        <w:drawing>
          <wp:anchor distT="0" distB="0" distL="114300" distR="114300" simplePos="0" relativeHeight="251662336" behindDoc="0" locked="0" layoutInCell="1" allowOverlap="1" wp14:anchorId="054818DF" wp14:editId="579AF352">
            <wp:simplePos x="0" y="0"/>
            <wp:positionH relativeFrom="column">
              <wp:posOffset>2048510</wp:posOffset>
            </wp:positionH>
            <wp:positionV relativeFrom="paragraph">
              <wp:posOffset>64770</wp:posOffset>
            </wp:positionV>
            <wp:extent cx="2326640" cy="10502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858" t="18276" r="2" b="1"/>
                    <a:stretch/>
                  </pic:blipFill>
                  <pic:spPr bwMode="auto">
                    <a:xfrm>
                      <a:off x="0" y="0"/>
                      <a:ext cx="2326640" cy="1050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C823C6" w14:textId="77777777" w:rsidR="00756214" w:rsidRDefault="00756214" w:rsidP="00691888">
      <w:pPr>
        <w:jc w:val="center"/>
        <w:rPr>
          <w:b/>
          <w:bCs/>
          <w:sz w:val="32"/>
          <w:szCs w:val="32"/>
          <w:u w:val="single"/>
        </w:rPr>
      </w:pPr>
    </w:p>
    <w:p w14:paraId="385A3504" w14:textId="77777777" w:rsidR="00756214" w:rsidRDefault="00756214" w:rsidP="00691888">
      <w:pPr>
        <w:jc w:val="center"/>
        <w:rPr>
          <w:b/>
          <w:bCs/>
          <w:sz w:val="32"/>
          <w:szCs w:val="32"/>
          <w:u w:val="single"/>
        </w:rPr>
      </w:pPr>
    </w:p>
    <w:p w14:paraId="2C349562" w14:textId="77777777" w:rsidR="00756214" w:rsidRDefault="00756214" w:rsidP="00691888">
      <w:pPr>
        <w:jc w:val="center"/>
        <w:rPr>
          <w:b/>
          <w:bCs/>
          <w:sz w:val="32"/>
          <w:szCs w:val="32"/>
          <w:u w:val="single"/>
        </w:rPr>
      </w:pPr>
    </w:p>
    <w:p w14:paraId="6DDC6190" w14:textId="6E757C75" w:rsidR="00691888" w:rsidRPr="00691888" w:rsidRDefault="00691888" w:rsidP="00691888">
      <w:pPr>
        <w:jc w:val="center"/>
        <w:rPr>
          <w:b/>
          <w:bCs/>
          <w:sz w:val="32"/>
          <w:szCs w:val="32"/>
          <w:u w:val="single"/>
        </w:rPr>
      </w:pPr>
      <w:r w:rsidRPr="007D784D">
        <w:rPr>
          <w:b/>
          <w:bCs/>
          <w:sz w:val="32"/>
          <w:szCs w:val="32"/>
          <w:u w:val="single"/>
        </w:rPr>
        <w:t>COMUNICATO STAMPA</w:t>
      </w:r>
    </w:p>
    <w:p w14:paraId="2D4A38F5" w14:textId="439CB519" w:rsidR="00134EE7" w:rsidRPr="00755811" w:rsidRDefault="00134EE7" w:rsidP="001F6784">
      <w:pPr>
        <w:jc w:val="center"/>
        <w:rPr>
          <w:b/>
          <w:bCs/>
          <w:sz w:val="32"/>
          <w:szCs w:val="32"/>
        </w:rPr>
      </w:pPr>
      <w:r w:rsidRPr="00755811">
        <w:rPr>
          <w:b/>
          <w:bCs/>
          <w:sz w:val="32"/>
          <w:szCs w:val="32"/>
        </w:rPr>
        <w:t xml:space="preserve">Next generation </w:t>
      </w:r>
      <w:proofErr w:type="spellStart"/>
      <w:r w:rsidRPr="00755811">
        <w:rPr>
          <w:b/>
          <w:bCs/>
          <w:sz w:val="32"/>
          <w:szCs w:val="32"/>
        </w:rPr>
        <w:t>experience</w:t>
      </w:r>
      <w:proofErr w:type="spellEnd"/>
      <w:r w:rsidRPr="00755811">
        <w:rPr>
          <w:b/>
          <w:bCs/>
          <w:sz w:val="32"/>
          <w:szCs w:val="32"/>
        </w:rPr>
        <w:t xml:space="preserve">: </w:t>
      </w:r>
      <w:r w:rsidR="00D85FCD" w:rsidRPr="00755811">
        <w:rPr>
          <w:b/>
          <w:bCs/>
          <w:sz w:val="32"/>
          <w:szCs w:val="32"/>
        </w:rPr>
        <w:t>Edra</w:t>
      </w:r>
      <w:r w:rsidRPr="00755811">
        <w:rPr>
          <w:b/>
          <w:bCs/>
          <w:sz w:val="32"/>
          <w:szCs w:val="32"/>
        </w:rPr>
        <w:t xml:space="preserve"> acquisisce </w:t>
      </w:r>
      <w:proofErr w:type="spellStart"/>
      <w:r w:rsidRPr="00755811">
        <w:rPr>
          <w:b/>
          <w:bCs/>
          <w:sz w:val="32"/>
          <w:szCs w:val="32"/>
        </w:rPr>
        <w:t>Conflux</w:t>
      </w:r>
      <w:proofErr w:type="spellEnd"/>
    </w:p>
    <w:p w14:paraId="34A93964" w14:textId="5FB98D8C" w:rsidR="00134EE7" w:rsidRPr="00755811" w:rsidRDefault="00134EE7" w:rsidP="00691888">
      <w:pPr>
        <w:jc w:val="center"/>
        <w:rPr>
          <w:b/>
          <w:bCs/>
          <w:sz w:val="24"/>
          <w:szCs w:val="24"/>
        </w:rPr>
      </w:pPr>
      <w:r w:rsidRPr="00755811">
        <w:rPr>
          <w:b/>
          <w:bCs/>
          <w:sz w:val="24"/>
          <w:szCs w:val="24"/>
        </w:rPr>
        <w:t xml:space="preserve">Edra S.p.A., capogruppo di LSWR Group, acquisisce </w:t>
      </w:r>
      <w:proofErr w:type="spellStart"/>
      <w:r w:rsidRPr="00755811">
        <w:rPr>
          <w:b/>
          <w:bCs/>
          <w:sz w:val="24"/>
          <w:szCs w:val="24"/>
        </w:rPr>
        <w:t>Conflux</w:t>
      </w:r>
      <w:proofErr w:type="spellEnd"/>
      <w:r w:rsidRPr="00755811">
        <w:rPr>
          <w:b/>
          <w:bCs/>
          <w:sz w:val="24"/>
          <w:szCs w:val="24"/>
        </w:rPr>
        <w:t xml:space="preserve"> S.r.l. </w:t>
      </w:r>
      <w:r w:rsidR="006970CD">
        <w:rPr>
          <w:b/>
          <w:bCs/>
          <w:sz w:val="24"/>
          <w:szCs w:val="24"/>
        </w:rPr>
        <w:br/>
      </w:r>
      <w:r w:rsidRPr="00755811">
        <w:rPr>
          <w:b/>
          <w:bCs/>
          <w:sz w:val="24"/>
          <w:szCs w:val="24"/>
        </w:rPr>
        <w:t xml:space="preserve">per sviluppare l’attività di service ed </w:t>
      </w:r>
      <w:proofErr w:type="spellStart"/>
      <w:r w:rsidRPr="00755811">
        <w:rPr>
          <w:b/>
          <w:bCs/>
          <w:sz w:val="24"/>
          <w:szCs w:val="24"/>
        </w:rPr>
        <w:t>experience</w:t>
      </w:r>
      <w:proofErr w:type="spellEnd"/>
      <w:r w:rsidRPr="00755811">
        <w:rPr>
          <w:b/>
          <w:bCs/>
          <w:sz w:val="24"/>
          <w:szCs w:val="24"/>
        </w:rPr>
        <w:t xml:space="preserve"> design</w:t>
      </w:r>
    </w:p>
    <w:p w14:paraId="5B0B6EB1" w14:textId="35D1D4C6" w:rsidR="00134EE7" w:rsidRDefault="00134EE7" w:rsidP="00755811">
      <w:pPr>
        <w:jc w:val="both"/>
      </w:pPr>
      <w:r>
        <w:t xml:space="preserve">Milano, </w:t>
      </w:r>
      <w:r w:rsidR="006970CD">
        <w:t>7</w:t>
      </w:r>
      <w:r>
        <w:t xml:space="preserve"> </w:t>
      </w:r>
      <w:r w:rsidR="00691888">
        <w:t xml:space="preserve">luglio </w:t>
      </w:r>
      <w:r>
        <w:t xml:space="preserve">2022 – </w:t>
      </w:r>
      <w:r w:rsidRPr="00755811">
        <w:rPr>
          <w:b/>
          <w:bCs/>
        </w:rPr>
        <w:t>LSWR Group</w:t>
      </w:r>
      <w:r>
        <w:t xml:space="preserve">, realtà italiana leader in conoscenza e informazione nei settori salute, legale e tecnico-professionale, ha acquisito – attraverso la capogruppo </w:t>
      </w:r>
      <w:r w:rsidRPr="00755811">
        <w:rPr>
          <w:b/>
          <w:bCs/>
        </w:rPr>
        <w:t xml:space="preserve">Edra </w:t>
      </w:r>
      <w:proofErr w:type="spellStart"/>
      <w:r w:rsidRPr="00755811">
        <w:rPr>
          <w:b/>
          <w:bCs/>
        </w:rPr>
        <w:t>S.p.A</w:t>
      </w:r>
      <w:proofErr w:type="spellEnd"/>
      <w:r>
        <w:t xml:space="preserve"> – </w:t>
      </w:r>
      <w:proofErr w:type="spellStart"/>
      <w:r w:rsidRPr="00755811">
        <w:rPr>
          <w:b/>
          <w:bCs/>
        </w:rPr>
        <w:t>Conflux</w:t>
      </w:r>
      <w:proofErr w:type="spellEnd"/>
      <w:r w:rsidRPr="00755811">
        <w:rPr>
          <w:b/>
          <w:bCs/>
        </w:rPr>
        <w:t xml:space="preserve"> S.r.l</w:t>
      </w:r>
      <w:r>
        <w:t xml:space="preserve">., società specializzata in </w:t>
      </w:r>
      <w:r w:rsidRPr="00755811">
        <w:rPr>
          <w:b/>
          <w:bCs/>
        </w:rPr>
        <w:t xml:space="preserve">User Experience </w:t>
      </w:r>
      <w:proofErr w:type="spellStart"/>
      <w:r w:rsidRPr="00755811">
        <w:rPr>
          <w:b/>
          <w:bCs/>
        </w:rPr>
        <w:t>Research</w:t>
      </w:r>
      <w:proofErr w:type="spellEnd"/>
      <w:r w:rsidRPr="00755811">
        <w:rPr>
          <w:b/>
          <w:bCs/>
        </w:rPr>
        <w:t xml:space="preserve"> e Design</w:t>
      </w:r>
      <w:r>
        <w:t>.</w:t>
      </w:r>
    </w:p>
    <w:p w14:paraId="5333622F" w14:textId="556EC211" w:rsidR="00134EE7" w:rsidRDefault="00134EE7" w:rsidP="00755811">
      <w:pPr>
        <w:jc w:val="both"/>
      </w:pPr>
      <w:proofErr w:type="spellStart"/>
      <w:r>
        <w:t>Conflux</w:t>
      </w:r>
      <w:proofErr w:type="spellEnd"/>
      <w:r>
        <w:t>, nata nel 2016</w:t>
      </w:r>
      <w:r w:rsidR="00DE6A65">
        <w:t xml:space="preserve"> - </w:t>
      </w:r>
      <w:r w:rsidR="00DE6A65" w:rsidRPr="00756214">
        <w:t>realtà in rapida crescita, che ha chiuso il 2021 con un fatturato di 2,7 milioni di euro, triplicato rispetto al 2019</w:t>
      </w:r>
      <w:r w:rsidRPr="00DE6A65">
        <w:rPr>
          <w:color w:val="FF0000"/>
        </w:rPr>
        <w:t xml:space="preserve"> </w:t>
      </w:r>
      <w:r w:rsidR="00DE6A65" w:rsidRPr="007E1AE5">
        <w:rPr>
          <w:color w:val="000000" w:themeColor="text1"/>
        </w:rPr>
        <w:t>-</w:t>
      </w:r>
      <w:r w:rsidR="00DE6A65">
        <w:rPr>
          <w:color w:val="FF0000"/>
        </w:rPr>
        <w:t xml:space="preserve"> </w:t>
      </w:r>
      <w:r>
        <w:t xml:space="preserve">si occupa della progettazione di </w:t>
      </w:r>
      <w:r w:rsidRPr="00755811">
        <w:rPr>
          <w:b/>
          <w:bCs/>
        </w:rPr>
        <w:t>servizi digitali innovativi</w:t>
      </w:r>
      <w:r>
        <w:t xml:space="preserve"> e data </w:t>
      </w:r>
      <w:proofErr w:type="spellStart"/>
      <w:r>
        <w:t>driven</w:t>
      </w:r>
      <w:proofErr w:type="spellEnd"/>
      <w:r>
        <w:t xml:space="preserve"> attraverso processi di human </w:t>
      </w:r>
      <w:proofErr w:type="spellStart"/>
      <w:r>
        <w:t>centered</w:t>
      </w:r>
      <w:proofErr w:type="spellEnd"/>
      <w:r>
        <w:t xml:space="preserve"> design, con l’obiettivo di migliorare le performance delle piattaforme digitali e la relativa efficacia in termini di processi e conversioni.</w:t>
      </w:r>
      <w:r w:rsidR="00DE6A65">
        <w:t xml:space="preserve"> </w:t>
      </w:r>
      <w:r w:rsidR="00DE6A65" w:rsidRPr="00756214">
        <w:t xml:space="preserve">Nell’ambito dell’operazione, Blue Ocean Finance ha lavorato al fianco dei soci di </w:t>
      </w:r>
      <w:proofErr w:type="spellStart"/>
      <w:r w:rsidR="00DE6A65" w:rsidRPr="00756214">
        <w:t>Conflux</w:t>
      </w:r>
      <w:proofErr w:type="spellEnd"/>
      <w:r w:rsidR="00DE6A65" w:rsidRPr="00756214">
        <w:t xml:space="preserve"> nel processo di crescita e strutturazione finanziaria propedeutica all’exit.</w:t>
      </w:r>
    </w:p>
    <w:p w14:paraId="68DE35DB" w14:textId="4F292BF7" w:rsidR="00D85FCD" w:rsidRDefault="00134EE7" w:rsidP="00755811">
      <w:pPr>
        <w:jc w:val="both"/>
      </w:pPr>
      <w:r>
        <w:t>“</w:t>
      </w:r>
      <w:r w:rsidRPr="00755811">
        <w:rPr>
          <w:i/>
          <w:iCs/>
        </w:rPr>
        <w:t xml:space="preserve">La salute è soggettiva ed esperienziale. Lo sviluppo di dimensioni valutative quali </w:t>
      </w:r>
      <w:proofErr w:type="spellStart"/>
      <w:r w:rsidRPr="00755811">
        <w:rPr>
          <w:i/>
          <w:iCs/>
        </w:rPr>
        <w:t>Patient</w:t>
      </w:r>
      <w:proofErr w:type="spellEnd"/>
      <w:r w:rsidRPr="00755811">
        <w:rPr>
          <w:i/>
          <w:iCs/>
        </w:rPr>
        <w:t xml:space="preserve"> Report </w:t>
      </w:r>
      <w:proofErr w:type="spellStart"/>
      <w:r w:rsidRPr="00755811">
        <w:rPr>
          <w:i/>
          <w:iCs/>
        </w:rPr>
        <w:t>Outcome</w:t>
      </w:r>
      <w:proofErr w:type="spellEnd"/>
      <w:r w:rsidRPr="00755811">
        <w:rPr>
          <w:i/>
          <w:iCs/>
        </w:rPr>
        <w:t xml:space="preserve"> e </w:t>
      </w:r>
      <w:proofErr w:type="spellStart"/>
      <w:r w:rsidRPr="00755811">
        <w:rPr>
          <w:i/>
          <w:iCs/>
        </w:rPr>
        <w:t>Patient</w:t>
      </w:r>
      <w:proofErr w:type="spellEnd"/>
      <w:r w:rsidRPr="00755811">
        <w:rPr>
          <w:i/>
          <w:iCs/>
        </w:rPr>
        <w:t xml:space="preserve"> Report Experience consente in misura crescente di cogliere il reale valore del percorso di cura: quello colto dalla pe</w:t>
      </w:r>
      <w:r w:rsidR="00755811">
        <w:rPr>
          <w:i/>
          <w:iCs/>
        </w:rPr>
        <w:t>rs</w:t>
      </w:r>
      <w:r w:rsidRPr="00755811">
        <w:rPr>
          <w:i/>
          <w:iCs/>
        </w:rPr>
        <w:t xml:space="preserve">ona. E la visione più sistemica della salute ci insegna a comprendere quanto l’esperienza e la situazione psicologica della persona sia anche determinante nel raggiungimento degli </w:t>
      </w:r>
      <w:proofErr w:type="spellStart"/>
      <w:r w:rsidRPr="00755811">
        <w:rPr>
          <w:i/>
          <w:iCs/>
        </w:rPr>
        <w:t>outcome</w:t>
      </w:r>
      <w:proofErr w:type="spellEnd"/>
      <w:r w:rsidRPr="00755811">
        <w:rPr>
          <w:i/>
          <w:iCs/>
        </w:rPr>
        <w:t xml:space="preserve"> clinici</w:t>
      </w:r>
      <w:r>
        <w:t xml:space="preserve">” dichiara </w:t>
      </w:r>
      <w:r w:rsidRPr="00755811">
        <w:rPr>
          <w:b/>
          <w:bCs/>
        </w:rPr>
        <w:t xml:space="preserve">Ludovico </w:t>
      </w:r>
      <w:proofErr w:type="spellStart"/>
      <w:r w:rsidRPr="00755811">
        <w:rPr>
          <w:b/>
          <w:bCs/>
        </w:rPr>
        <w:t>Baldessin</w:t>
      </w:r>
      <w:proofErr w:type="spellEnd"/>
      <w:r w:rsidRPr="00755811">
        <w:rPr>
          <w:b/>
          <w:bCs/>
        </w:rPr>
        <w:t>, Amministratore Delegato di Edra</w:t>
      </w:r>
      <w:r w:rsidR="00755811">
        <w:rPr>
          <w:b/>
          <w:bCs/>
        </w:rPr>
        <w:t>.</w:t>
      </w:r>
      <w:r>
        <w:t xml:space="preserve"> “</w:t>
      </w:r>
      <w:r w:rsidRPr="00755811">
        <w:rPr>
          <w:i/>
          <w:iCs/>
        </w:rPr>
        <w:t xml:space="preserve">Risulta quindi indispensabile, anche alla luce della trasformazione in atto delle cure e delle necessità di umanizzarle, ripensare processi e strumenti attorno all’esperienza, del malato come del professionista sanitario: da questa visione nasce l’unione delle competenze di Edra con </w:t>
      </w:r>
      <w:proofErr w:type="spellStart"/>
      <w:r w:rsidRPr="00755811">
        <w:rPr>
          <w:i/>
          <w:iCs/>
        </w:rPr>
        <w:t>Conflux</w:t>
      </w:r>
      <w:proofErr w:type="spellEnd"/>
      <w:r w:rsidRPr="00755811">
        <w:rPr>
          <w:i/>
          <w:iCs/>
        </w:rPr>
        <w:t xml:space="preserve"> e la costituzione di un importante centro di innovazione per la salute e la medicina: </w:t>
      </w:r>
      <w:r w:rsidRPr="00755811">
        <w:rPr>
          <w:b/>
          <w:bCs/>
          <w:i/>
          <w:iCs/>
        </w:rPr>
        <w:t>Hei! Lab - Health Experience Innovation Lab</w:t>
      </w:r>
      <w:r>
        <w:t>”.</w:t>
      </w:r>
    </w:p>
    <w:p w14:paraId="4F93349F" w14:textId="755045DC" w:rsidR="00134EE7" w:rsidRDefault="00134EE7" w:rsidP="00755811">
      <w:pPr>
        <w:jc w:val="both"/>
      </w:pPr>
      <w:r w:rsidRPr="00755811">
        <w:rPr>
          <w:b/>
          <w:bCs/>
        </w:rPr>
        <w:t xml:space="preserve">Luigi Greco, Amministratore Delegato di </w:t>
      </w:r>
      <w:proofErr w:type="spellStart"/>
      <w:r w:rsidRPr="00755811">
        <w:rPr>
          <w:b/>
          <w:bCs/>
        </w:rPr>
        <w:t>Conflux</w:t>
      </w:r>
      <w:proofErr w:type="spellEnd"/>
      <w:r>
        <w:t>, conferma il valore della nuova partnership: “</w:t>
      </w:r>
      <w:r w:rsidRPr="00755811">
        <w:rPr>
          <w:i/>
          <w:iCs/>
        </w:rPr>
        <w:t xml:space="preserve">La vocazione di </w:t>
      </w:r>
      <w:proofErr w:type="spellStart"/>
      <w:r w:rsidRPr="00755811">
        <w:rPr>
          <w:i/>
          <w:iCs/>
        </w:rPr>
        <w:t>Conflux</w:t>
      </w:r>
      <w:proofErr w:type="spellEnd"/>
      <w:r w:rsidRPr="00755811">
        <w:rPr>
          <w:i/>
          <w:iCs/>
        </w:rPr>
        <w:t xml:space="preserve"> è sempre stata quella di rendere più efficaci processi e strumenti grazie alla User Experience </w:t>
      </w:r>
      <w:proofErr w:type="spellStart"/>
      <w:r w:rsidRPr="00755811">
        <w:rPr>
          <w:i/>
          <w:iCs/>
        </w:rPr>
        <w:t>Research</w:t>
      </w:r>
      <w:proofErr w:type="spellEnd"/>
      <w:r w:rsidRPr="00755811">
        <w:rPr>
          <w:i/>
          <w:iCs/>
        </w:rPr>
        <w:t xml:space="preserve"> e Design. L’entrata nel Gruppo LSWR ci consente di sviluppare l’offerta in Italia come all’estero e di supportare e guidare l’evoluzione in atto, in particolare nell’ambito della salute grazie alla sinergia con la realtà del settore, Edra</w:t>
      </w:r>
      <w:r>
        <w:t>”.</w:t>
      </w:r>
    </w:p>
    <w:p w14:paraId="0ACFEC4A" w14:textId="060028C8" w:rsidR="008431CA" w:rsidRDefault="00134EE7" w:rsidP="00755811">
      <w:pPr>
        <w:jc w:val="both"/>
      </w:pPr>
      <w:r>
        <w:t xml:space="preserve"> “</w:t>
      </w:r>
      <w:r w:rsidRPr="00755811">
        <w:rPr>
          <w:i/>
          <w:iCs/>
        </w:rPr>
        <w:t xml:space="preserve">Abbiamo individuato in </w:t>
      </w:r>
      <w:proofErr w:type="spellStart"/>
      <w:r w:rsidRPr="00755811">
        <w:rPr>
          <w:i/>
          <w:iCs/>
        </w:rPr>
        <w:t>Conflux</w:t>
      </w:r>
      <w:proofErr w:type="spellEnd"/>
      <w:r w:rsidRPr="00755811">
        <w:rPr>
          <w:i/>
          <w:iCs/>
        </w:rPr>
        <w:t xml:space="preserve"> un partner eccellente per proseguire nel nostro percorso di sviluppo di soluzioni e prodotti digitali</w:t>
      </w:r>
      <w:r>
        <w:t xml:space="preserve">” </w:t>
      </w:r>
      <w:r w:rsidR="00755811">
        <w:t xml:space="preserve">- </w:t>
      </w:r>
      <w:r>
        <w:t xml:space="preserve">conclude </w:t>
      </w:r>
      <w:r w:rsidRPr="00755811">
        <w:rPr>
          <w:b/>
          <w:bCs/>
        </w:rPr>
        <w:t>Giorgio Albonetti, Presidente del Gruppo LSWR</w:t>
      </w:r>
      <w:r w:rsidR="00755811">
        <w:t xml:space="preserve">. </w:t>
      </w:r>
      <w:r>
        <w:t>“</w:t>
      </w:r>
      <w:r w:rsidRPr="00755811">
        <w:rPr>
          <w:i/>
          <w:iCs/>
        </w:rPr>
        <w:t xml:space="preserve">L’acquisizione di </w:t>
      </w:r>
      <w:proofErr w:type="spellStart"/>
      <w:r w:rsidRPr="00755811">
        <w:rPr>
          <w:i/>
          <w:iCs/>
        </w:rPr>
        <w:t>Conflux</w:t>
      </w:r>
      <w:proofErr w:type="spellEnd"/>
      <w:r w:rsidRPr="00755811">
        <w:rPr>
          <w:i/>
          <w:iCs/>
        </w:rPr>
        <w:t xml:space="preserve"> rafforza e arricchisce le competenze di service design del Gruppo, proprio in una fase storica in cui è necessario ricostruire nuovi processi e strumenti dalle macerie che la pandemia ci lascia, per disegnare un futuro migliore</w:t>
      </w:r>
      <w:r>
        <w:t>”.</w:t>
      </w:r>
    </w:p>
    <w:p w14:paraId="3C745288" w14:textId="67EBBA8C" w:rsidR="00134EE7" w:rsidRDefault="00134EE7" w:rsidP="00755811">
      <w:pPr>
        <w:jc w:val="both"/>
      </w:pPr>
      <w:r>
        <w:lastRenderedPageBreak/>
        <w:t xml:space="preserve">Edra S.p.A. è stata assistita da </w:t>
      </w:r>
      <w:proofErr w:type="spellStart"/>
      <w:r>
        <w:t>Orrick</w:t>
      </w:r>
      <w:proofErr w:type="spellEnd"/>
      <w:r>
        <w:t xml:space="preserve">, </w:t>
      </w:r>
      <w:r w:rsidRPr="00134EE7">
        <w:t xml:space="preserve">con </w:t>
      </w:r>
      <w:proofErr w:type="gramStart"/>
      <w:r w:rsidRPr="00134EE7">
        <w:t>un team guidato</w:t>
      </w:r>
      <w:proofErr w:type="gramEnd"/>
      <w:r w:rsidRPr="00134EE7">
        <w:t xml:space="preserve"> dalla special </w:t>
      </w:r>
      <w:proofErr w:type="spellStart"/>
      <w:r w:rsidRPr="00134EE7">
        <w:t>counsel</w:t>
      </w:r>
      <w:proofErr w:type="spellEnd"/>
      <w:r w:rsidRPr="00134EE7">
        <w:t xml:space="preserve"> Anna Spanò,</w:t>
      </w:r>
      <w:r>
        <w:t xml:space="preserve"> </w:t>
      </w:r>
      <w:proofErr w:type="spellStart"/>
      <w:r>
        <w:t>Conflux</w:t>
      </w:r>
      <w:proofErr w:type="spellEnd"/>
      <w:r>
        <w:t xml:space="preserve"> da</w:t>
      </w:r>
      <w:r w:rsidRPr="00134EE7">
        <w:t xml:space="preserve"> Blue Ocean Finance</w:t>
      </w:r>
      <w:r>
        <w:t xml:space="preserve">, </w:t>
      </w:r>
      <w:r w:rsidRPr="00756214">
        <w:t xml:space="preserve">advisor </w:t>
      </w:r>
      <w:r w:rsidR="00DE6A65" w:rsidRPr="00756214">
        <w:t xml:space="preserve">finanziario </w:t>
      </w:r>
      <w:r w:rsidRPr="00756214">
        <w:t>dell’operazione con un team composto dalla Lead Advisor Stefania Esposito e dal Financial Advisor Giuseppe Leccese</w:t>
      </w:r>
      <w:r w:rsidR="00DE6A65" w:rsidRPr="00756214">
        <w:t xml:space="preserve"> e</w:t>
      </w:r>
      <w:r w:rsidRPr="00756214">
        <w:t xml:space="preserve"> dallo Studio Prosperetti</w:t>
      </w:r>
      <w:r w:rsidR="00B73233" w:rsidRPr="00B73233">
        <w:rPr>
          <w:color w:val="000000"/>
        </w:rPr>
        <w:t xml:space="preserve"> </w:t>
      </w:r>
      <w:r w:rsidR="00B73233">
        <w:rPr>
          <w:color w:val="000000"/>
        </w:rPr>
        <w:t>di Roma, con il Prof. Avv. Eugenio Prosperetti</w:t>
      </w:r>
      <w:r>
        <w:t>, pe</w:t>
      </w:r>
      <w:r w:rsidR="00B73233">
        <w:t>r gli aspetti legali.</w:t>
      </w:r>
    </w:p>
    <w:p w14:paraId="60A92C15" w14:textId="77777777" w:rsidR="00C76BC0" w:rsidRDefault="00C76BC0" w:rsidP="001B462B">
      <w:pPr>
        <w:tabs>
          <w:tab w:val="left" w:pos="1512"/>
        </w:tabs>
        <w:spacing w:after="0" w:line="240" w:lineRule="auto"/>
        <w:jc w:val="both"/>
        <w:rPr>
          <w:b/>
          <w:bCs/>
          <w:color w:val="000000" w:themeColor="text1"/>
        </w:rPr>
      </w:pPr>
    </w:p>
    <w:p w14:paraId="72B5671C" w14:textId="77777777" w:rsidR="00C76BC0" w:rsidRDefault="00C76BC0" w:rsidP="001B462B">
      <w:pPr>
        <w:tabs>
          <w:tab w:val="left" w:pos="1512"/>
        </w:tabs>
        <w:spacing w:after="0" w:line="240" w:lineRule="auto"/>
        <w:jc w:val="both"/>
        <w:rPr>
          <w:b/>
          <w:bCs/>
          <w:color w:val="000000" w:themeColor="text1"/>
        </w:rPr>
      </w:pPr>
    </w:p>
    <w:p w14:paraId="07A5F354" w14:textId="550D1A43" w:rsidR="001B462B" w:rsidRPr="00B73233" w:rsidRDefault="001B462B" w:rsidP="001B462B">
      <w:pPr>
        <w:tabs>
          <w:tab w:val="left" w:pos="1512"/>
        </w:tabs>
        <w:spacing w:after="0" w:line="240" w:lineRule="auto"/>
        <w:jc w:val="both"/>
        <w:rPr>
          <w:b/>
          <w:bCs/>
          <w:color w:val="000000" w:themeColor="text1"/>
        </w:rPr>
      </w:pPr>
      <w:r w:rsidRPr="00B73233">
        <w:rPr>
          <w:b/>
          <w:bCs/>
          <w:color w:val="000000" w:themeColor="text1"/>
        </w:rPr>
        <w:t xml:space="preserve">Company </w:t>
      </w:r>
      <w:proofErr w:type="spellStart"/>
      <w:r w:rsidRPr="00B73233">
        <w:rPr>
          <w:b/>
          <w:bCs/>
          <w:color w:val="000000" w:themeColor="text1"/>
        </w:rPr>
        <w:t>Profile</w:t>
      </w:r>
      <w:proofErr w:type="spellEnd"/>
    </w:p>
    <w:p w14:paraId="696260EA" w14:textId="77777777" w:rsidR="009333C8" w:rsidRPr="00B73233" w:rsidRDefault="009333C8" w:rsidP="009333C8">
      <w:pPr>
        <w:spacing w:after="0"/>
      </w:pPr>
      <w:r w:rsidRPr="00B73233">
        <w:rPr>
          <w:b/>
          <w:bCs/>
        </w:rPr>
        <w:t>LSWR Group -</w:t>
      </w:r>
      <w:r w:rsidRPr="00B73233">
        <w:t xml:space="preserve"> </w:t>
      </w:r>
      <w:hyperlink r:id="rId8" w:history="1">
        <w:r w:rsidRPr="00B73233">
          <w:rPr>
            <w:rStyle w:val="Collegamentoipertestuale"/>
          </w:rPr>
          <w:t>http://www.lswrgroup.com/</w:t>
        </w:r>
      </w:hyperlink>
    </w:p>
    <w:p w14:paraId="7E2CE571" w14:textId="4DDC6D38" w:rsidR="009333C8" w:rsidRPr="00CA51AF" w:rsidRDefault="009333C8" w:rsidP="009333C8">
      <w:pPr>
        <w:spacing w:after="0"/>
        <w:rPr>
          <w:sz w:val="20"/>
          <w:szCs w:val="20"/>
        </w:rPr>
      </w:pPr>
      <w:r w:rsidRPr="00CA51AF">
        <w:rPr>
          <w:sz w:val="20"/>
          <w:szCs w:val="20"/>
        </w:rPr>
        <w:t xml:space="preserve">LSWR Group è una realtà internazionale con sede a Milano, leader nello sviluppo della conoscenza professionale nei campi medico, tecnico-professionale e giuridico con soluzioni e servizi di comunicazione, informazione e formazione. Nato nel 2013 con l’acquisizione delle attività di Elsevier (marchio EDRA) in Italia e cresciuto attraverso una serie di </w:t>
      </w:r>
      <w:proofErr w:type="gramStart"/>
      <w:r w:rsidRPr="00CA51AF">
        <w:rPr>
          <w:sz w:val="20"/>
          <w:szCs w:val="20"/>
        </w:rPr>
        <w:t>operazioni</w:t>
      </w:r>
      <w:proofErr w:type="gramEnd"/>
      <w:r w:rsidRPr="00CA51AF">
        <w:rPr>
          <w:sz w:val="20"/>
          <w:szCs w:val="20"/>
        </w:rPr>
        <w:t xml:space="preserve"> tra cui l’acquisizione del business “La Tribuna” da RCS, il Gruppo ha registrato nel 2021 un fatturato di 57,5 milioni di Euro. Con una progressiva apertura verso l'estero, LSWR Group sviluppa e replica al di fuori dei confini nazionali il modello di business avviato in Italia. LSWR Group opera attraverso un'offerta integrata, realizza ed elabora sistemi digitali evoluti, pubblica riviste e newsletter, struttura portali specializzati, edita e aggiorna costantemente testi professionali e universitari, organizza eventi e corsi di formazione per gli studiosi, i professionisti e gli enti del settore. LSWR Group mantiene consolidate collaborazioni con Istituzioni pubbliche e private, Aziende, Associazioni Scientifiche, Università e Professionisti.</w:t>
      </w:r>
    </w:p>
    <w:p w14:paraId="6787E147" w14:textId="77777777" w:rsidR="009333C8" w:rsidRDefault="009333C8" w:rsidP="001B462B">
      <w:pPr>
        <w:tabs>
          <w:tab w:val="left" w:pos="1512"/>
        </w:tabs>
        <w:spacing w:after="0" w:line="240" w:lineRule="auto"/>
        <w:jc w:val="both"/>
        <w:rPr>
          <w:b/>
          <w:bCs/>
          <w:color w:val="000000" w:themeColor="text1"/>
        </w:rPr>
      </w:pPr>
    </w:p>
    <w:p w14:paraId="047494AB" w14:textId="2E41AFC4" w:rsidR="001B462B" w:rsidRPr="00C930B1" w:rsidRDefault="001B462B" w:rsidP="001B462B">
      <w:pPr>
        <w:tabs>
          <w:tab w:val="left" w:pos="1512"/>
        </w:tabs>
        <w:spacing w:after="0" w:line="240" w:lineRule="auto"/>
        <w:jc w:val="both"/>
        <w:rPr>
          <w:b/>
          <w:bCs/>
          <w:color w:val="000000" w:themeColor="text1"/>
        </w:rPr>
      </w:pPr>
      <w:r w:rsidRPr="00C930B1">
        <w:rPr>
          <w:b/>
          <w:bCs/>
          <w:color w:val="000000" w:themeColor="text1"/>
        </w:rPr>
        <w:t>Edra S.p.A</w:t>
      </w:r>
      <w:r w:rsidR="00F12C86">
        <w:rPr>
          <w:b/>
          <w:bCs/>
          <w:color w:val="000000" w:themeColor="text1"/>
        </w:rPr>
        <w:t>.</w:t>
      </w:r>
      <w:r w:rsidR="009333C8">
        <w:rPr>
          <w:b/>
          <w:bCs/>
          <w:color w:val="000000" w:themeColor="text1"/>
        </w:rPr>
        <w:t xml:space="preserve"> - </w:t>
      </w:r>
      <w:hyperlink r:id="rId9" w:history="1">
        <w:r w:rsidR="002612D8" w:rsidRPr="002612D8">
          <w:rPr>
            <w:rStyle w:val="Collegamentoipertestuale"/>
          </w:rPr>
          <w:t>https://www.edraspa.it/</w:t>
        </w:r>
      </w:hyperlink>
      <w:r w:rsidR="002612D8">
        <w:rPr>
          <w:b/>
          <w:bCs/>
          <w:color w:val="000000" w:themeColor="text1"/>
        </w:rPr>
        <w:t xml:space="preserve"> </w:t>
      </w:r>
    </w:p>
    <w:p w14:paraId="07780B9D" w14:textId="50689907" w:rsidR="001B462B" w:rsidRDefault="001B462B" w:rsidP="001B462B">
      <w:pPr>
        <w:tabs>
          <w:tab w:val="left" w:pos="1512"/>
        </w:tabs>
        <w:spacing w:after="0" w:line="240" w:lineRule="auto"/>
        <w:jc w:val="both"/>
        <w:rPr>
          <w:color w:val="262626" w:themeColor="text1" w:themeTint="D9"/>
          <w:sz w:val="20"/>
          <w:szCs w:val="20"/>
        </w:rPr>
      </w:pPr>
      <w:r w:rsidRPr="00233B25">
        <w:rPr>
          <w:color w:val="262626" w:themeColor="text1" w:themeTint="D9"/>
          <w:sz w:val="20"/>
          <w:szCs w:val="20"/>
        </w:rPr>
        <w:t xml:space="preserve">Lo scenario complesso e composito della Salute italiana pone oggi sfide impegnative a tutti gli attori del sistema. Ma la fiducia nel talento, nella creatività, nella passione italiane consente di raggiungere risultati straordinari, capaci di sovvertire ed evolvere il presente verso un futuro anche inaspettato. </w:t>
      </w:r>
      <w:r>
        <w:rPr>
          <w:color w:val="262626" w:themeColor="text1" w:themeTint="D9"/>
          <w:sz w:val="20"/>
          <w:szCs w:val="20"/>
        </w:rPr>
        <w:t>Edra è</w:t>
      </w:r>
      <w:r w:rsidRPr="00233B25">
        <w:rPr>
          <w:color w:val="262626" w:themeColor="text1" w:themeTint="D9"/>
          <w:sz w:val="20"/>
          <w:szCs w:val="20"/>
        </w:rPr>
        <w:t xml:space="preserve"> una realtà orgogliosamente italiana, con 35 anni di esperienza sul mercato e risorse uniche: una nuova sfida per creare valore in Italia nel sistema Salute grazie ad innovazione, sostenibilità, resilienza. Edra è immaginare soluzioni per il futuro del sistema Salute. È aspirare a creare valore nel risolvere inefficienze e nel migliorare la cura. È adoperare competenze e risorse uniche per catalizzare l'evoluzione del Sistema. È una nuova idea per costruire valore nella Salute, in Italia e per l'Italia.</w:t>
      </w:r>
    </w:p>
    <w:p w14:paraId="08AFDA80" w14:textId="2E654D1A" w:rsidR="001B462B" w:rsidRDefault="001B462B" w:rsidP="001B462B">
      <w:pPr>
        <w:tabs>
          <w:tab w:val="left" w:pos="1512"/>
        </w:tabs>
        <w:spacing w:after="0" w:line="240" w:lineRule="auto"/>
        <w:jc w:val="both"/>
        <w:rPr>
          <w:color w:val="262626" w:themeColor="text1" w:themeTint="D9"/>
          <w:sz w:val="20"/>
          <w:szCs w:val="20"/>
        </w:rPr>
      </w:pPr>
    </w:p>
    <w:p w14:paraId="5D5E1925" w14:textId="62B240BC" w:rsidR="001B462B" w:rsidRDefault="001B462B" w:rsidP="001B462B">
      <w:pPr>
        <w:tabs>
          <w:tab w:val="left" w:pos="1512"/>
        </w:tabs>
        <w:spacing w:after="0" w:line="240" w:lineRule="auto"/>
        <w:jc w:val="both"/>
        <w:rPr>
          <w:color w:val="262626" w:themeColor="text1" w:themeTint="D9"/>
          <w:sz w:val="20"/>
          <w:szCs w:val="20"/>
        </w:rPr>
      </w:pPr>
      <w:proofErr w:type="spellStart"/>
      <w:r w:rsidRPr="00D33B21">
        <w:rPr>
          <w:b/>
          <w:bCs/>
        </w:rPr>
        <w:t>Conflux</w:t>
      </w:r>
      <w:proofErr w:type="spellEnd"/>
      <w:r w:rsidRPr="00D33B21">
        <w:rPr>
          <w:b/>
          <w:bCs/>
        </w:rPr>
        <w:t xml:space="preserve"> S.r.l</w:t>
      </w:r>
      <w:r>
        <w:t>.</w:t>
      </w:r>
      <w:r w:rsidR="002612D8">
        <w:t xml:space="preserve"> - </w:t>
      </w:r>
      <w:hyperlink r:id="rId10" w:history="1">
        <w:r w:rsidR="001B0180" w:rsidRPr="00B55B9E">
          <w:rPr>
            <w:rStyle w:val="Collegamentoipertestuale"/>
          </w:rPr>
          <w:t>https://www.conflux.it/</w:t>
        </w:r>
      </w:hyperlink>
    </w:p>
    <w:p w14:paraId="3B3E8DA0" w14:textId="692508AC" w:rsidR="001B462B" w:rsidRPr="00B77BBC" w:rsidRDefault="001B462B" w:rsidP="001B462B">
      <w:pPr>
        <w:tabs>
          <w:tab w:val="left" w:pos="1512"/>
        </w:tabs>
        <w:spacing w:after="0" w:line="240" w:lineRule="auto"/>
        <w:jc w:val="both"/>
        <w:rPr>
          <w:color w:val="262626" w:themeColor="text1" w:themeTint="D9"/>
          <w:sz w:val="20"/>
          <w:szCs w:val="20"/>
        </w:rPr>
      </w:pPr>
      <w:r>
        <w:rPr>
          <w:color w:val="262626" w:themeColor="text1" w:themeTint="D9"/>
          <w:sz w:val="20"/>
          <w:szCs w:val="20"/>
        </w:rPr>
        <w:t>B</w:t>
      </w:r>
      <w:r w:rsidRPr="00B77BBC">
        <w:rPr>
          <w:color w:val="262626" w:themeColor="text1" w:themeTint="D9"/>
          <w:sz w:val="20"/>
          <w:szCs w:val="20"/>
        </w:rPr>
        <w:t xml:space="preserve">outique specializzata in User Experience </w:t>
      </w:r>
      <w:proofErr w:type="spellStart"/>
      <w:r w:rsidRPr="00B77BBC">
        <w:rPr>
          <w:color w:val="262626" w:themeColor="text1" w:themeTint="D9"/>
          <w:sz w:val="20"/>
          <w:szCs w:val="20"/>
        </w:rPr>
        <w:t>Research</w:t>
      </w:r>
      <w:proofErr w:type="spellEnd"/>
      <w:r w:rsidRPr="00B77BBC">
        <w:rPr>
          <w:color w:val="262626" w:themeColor="text1" w:themeTint="D9"/>
          <w:sz w:val="20"/>
          <w:szCs w:val="20"/>
        </w:rPr>
        <w:t xml:space="preserve"> e Design. Su</w:t>
      </w:r>
      <w:r>
        <w:rPr>
          <w:color w:val="262626" w:themeColor="text1" w:themeTint="D9"/>
          <w:sz w:val="20"/>
          <w:szCs w:val="20"/>
        </w:rPr>
        <w:t>pporta</w:t>
      </w:r>
      <w:r w:rsidRPr="00B77BBC">
        <w:rPr>
          <w:color w:val="262626" w:themeColor="text1" w:themeTint="D9"/>
          <w:sz w:val="20"/>
          <w:szCs w:val="20"/>
        </w:rPr>
        <w:t xml:space="preserve"> i clienti ad analizzare, ideare e progettare servizi e prodotti digitali innovativi e data </w:t>
      </w:r>
      <w:proofErr w:type="spellStart"/>
      <w:r w:rsidRPr="00B77BBC">
        <w:rPr>
          <w:color w:val="262626" w:themeColor="text1" w:themeTint="D9"/>
          <w:sz w:val="20"/>
          <w:szCs w:val="20"/>
        </w:rPr>
        <w:t>driven</w:t>
      </w:r>
      <w:proofErr w:type="spellEnd"/>
      <w:r w:rsidRPr="00B77BBC">
        <w:rPr>
          <w:color w:val="262626" w:themeColor="text1" w:themeTint="D9"/>
          <w:sz w:val="20"/>
          <w:szCs w:val="20"/>
        </w:rPr>
        <w:t xml:space="preserve"> che aiutano il business a crescere.</w:t>
      </w:r>
      <w:r>
        <w:rPr>
          <w:color w:val="262626" w:themeColor="text1" w:themeTint="D9"/>
          <w:sz w:val="20"/>
          <w:szCs w:val="20"/>
        </w:rPr>
        <w:t xml:space="preserve"> </w:t>
      </w:r>
      <w:r w:rsidRPr="00B77BBC">
        <w:rPr>
          <w:color w:val="262626" w:themeColor="text1" w:themeTint="D9"/>
          <w:sz w:val="20"/>
          <w:szCs w:val="20"/>
        </w:rPr>
        <w:t xml:space="preserve">Attraverso un processo di Human </w:t>
      </w:r>
      <w:proofErr w:type="spellStart"/>
      <w:r w:rsidRPr="00B77BBC">
        <w:rPr>
          <w:color w:val="262626" w:themeColor="text1" w:themeTint="D9"/>
          <w:sz w:val="20"/>
          <w:szCs w:val="20"/>
        </w:rPr>
        <w:t>centered</w:t>
      </w:r>
      <w:proofErr w:type="spellEnd"/>
      <w:r w:rsidRPr="00B77BBC">
        <w:rPr>
          <w:color w:val="262626" w:themeColor="text1" w:themeTint="D9"/>
          <w:sz w:val="20"/>
          <w:szCs w:val="20"/>
        </w:rPr>
        <w:t xml:space="preserve"> design, </w:t>
      </w:r>
      <w:proofErr w:type="spellStart"/>
      <w:r w:rsidR="007453CC">
        <w:rPr>
          <w:color w:val="262626" w:themeColor="text1" w:themeTint="D9"/>
          <w:sz w:val="20"/>
          <w:szCs w:val="20"/>
        </w:rPr>
        <w:t>Conflux</w:t>
      </w:r>
      <w:proofErr w:type="spellEnd"/>
      <w:r w:rsidR="007453CC">
        <w:rPr>
          <w:color w:val="262626" w:themeColor="text1" w:themeTint="D9"/>
          <w:sz w:val="20"/>
          <w:szCs w:val="20"/>
        </w:rPr>
        <w:t xml:space="preserve"> </w:t>
      </w:r>
      <w:r w:rsidRPr="00B77BBC">
        <w:rPr>
          <w:color w:val="262626" w:themeColor="text1" w:themeTint="D9"/>
          <w:sz w:val="20"/>
          <w:szCs w:val="20"/>
        </w:rPr>
        <w:t>suppor</w:t>
      </w:r>
      <w:r>
        <w:rPr>
          <w:color w:val="262626" w:themeColor="text1" w:themeTint="D9"/>
          <w:sz w:val="20"/>
          <w:szCs w:val="20"/>
        </w:rPr>
        <w:t>ta</w:t>
      </w:r>
      <w:r w:rsidRPr="00B77BBC">
        <w:rPr>
          <w:color w:val="262626" w:themeColor="text1" w:themeTint="D9"/>
          <w:sz w:val="20"/>
          <w:szCs w:val="20"/>
        </w:rPr>
        <w:t xml:space="preserve"> le esigenze del business dei clienti, analizzando e progettando </w:t>
      </w:r>
      <w:proofErr w:type="spellStart"/>
      <w:r w:rsidRPr="00B77BBC">
        <w:rPr>
          <w:color w:val="262626" w:themeColor="text1" w:themeTint="D9"/>
          <w:sz w:val="20"/>
          <w:szCs w:val="20"/>
        </w:rPr>
        <w:t>touchpoint</w:t>
      </w:r>
      <w:proofErr w:type="spellEnd"/>
      <w:r w:rsidRPr="00B77BBC">
        <w:rPr>
          <w:color w:val="262626" w:themeColor="text1" w:themeTint="D9"/>
          <w:sz w:val="20"/>
          <w:szCs w:val="20"/>
        </w:rPr>
        <w:t xml:space="preserve"> digitali, come App, e-commerce e siti web.</w:t>
      </w:r>
      <w:r w:rsidR="0030010F">
        <w:rPr>
          <w:color w:val="262626" w:themeColor="text1" w:themeTint="D9"/>
          <w:sz w:val="20"/>
          <w:szCs w:val="20"/>
        </w:rPr>
        <w:t xml:space="preserve"> </w:t>
      </w:r>
      <w:r w:rsidRPr="00B77BBC">
        <w:rPr>
          <w:color w:val="262626" w:themeColor="text1" w:themeTint="D9"/>
          <w:sz w:val="20"/>
          <w:szCs w:val="20"/>
        </w:rPr>
        <w:t xml:space="preserve">Grazie all’integrazione sinergica </w:t>
      </w:r>
      <w:proofErr w:type="gramStart"/>
      <w:r w:rsidRPr="00B77BBC">
        <w:rPr>
          <w:color w:val="262626" w:themeColor="text1" w:themeTint="D9"/>
          <w:sz w:val="20"/>
          <w:szCs w:val="20"/>
        </w:rPr>
        <w:t>del team</w:t>
      </w:r>
      <w:proofErr w:type="gramEnd"/>
      <w:r w:rsidRPr="00B77BBC">
        <w:rPr>
          <w:color w:val="262626" w:themeColor="text1" w:themeTint="D9"/>
          <w:sz w:val="20"/>
          <w:szCs w:val="20"/>
        </w:rPr>
        <w:t xml:space="preserve"> di UX </w:t>
      </w:r>
      <w:proofErr w:type="spellStart"/>
      <w:r w:rsidRPr="00B77BBC">
        <w:rPr>
          <w:color w:val="262626" w:themeColor="text1" w:themeTint="D9"/>
          <w:sz w:val="20"/>
          <w:szCs w:val="20"/>
        </w:rPr>
        <w:t>Research</w:t>
      </w:r>
      <w:proofErr w:type="spellEnd"/>
      <w:r w:rsidRPr="00B77BBC">
        <w:rPr>
          <w:color w:val="262626" w:themeColor="text1" w:themeTint="D9"/>
          <w:sz w:val="20"/>
          <w:szCs w:val="20"/>
        </w:rPr>
        <w:t xml:space="preserve"> e UX Design, grazie all’analisi della UX, con </w:t>
      </w:r>
      <w:proofErr w:type="spellStart"/>
      <w:r w:rsidRPr="00B77BBC">
        <w:rPr>
          <w:color w:val="262626" w:themeColor="text1" w:themeTint="D9"/>
          <w:sz w:val="20"/>
          <w:szCs w:val="20"/>
        </w:rPr>
        <w:t>analytics</w:t>
      </w:r>
      <w:proofErr w:type="spellEnd"/>
      <w:r w:rsidRPr="00B77BBC">
        <w:rPr>
          <w:color w:val="262626" w:themeColor="text1" w:themeTint="D9"/>
          <w:sz w:val="20"/>
          <w:szCs w:val="20"/>
        </w:rPr>
        <w:t xml:space="preserve">, visual </w:t>
      </w:r>
      <w:proofErr w:type="spellStart"/>
      <w:r w:rsidRPr="00B77BBC">
        <w:rPr>
          <w:color w:val="262626" w:themeColor="text1" w:themeTint="D9"/>
          <w:sz w:val="20"/>
          <w:szCs w:val="20"/>
        </w:rPr>
        <w:t>analytics</w:t>
      </w:r>
      <w:proofErr w:type="spellEnd"/>
      <w:r w:rsidRPr="00B77BBC">
        <w:rPr>
          <w:color w:val="262626" w:themeColor="text1" w:themeTint="D9"/>
          <w:sz w:val="20"/>
          <w:szCs w:val="20"/>
        </w:rPr>
        <w:t xml:space="preserve"> e tecniche di laboratorio, </w:t>
      </w:r>
      <w:r w:rsidR="0030010F">
        <w:rPr>
          <w:color w:val="262626" w:themeColor="text1" w:themeTint="D9"/>
          <w:sz w:val="20"/>
          <w:szCs w:val="20"/>
        </w:rPr>
        <w:t>l’azienda fornisce</w:t>
      </w:r>
      <w:r w:rsidRPr="00B77BBC">
        <w:rPr>
          <w:color w:val="262626" w:themeColor="text1" w:themeTint="D9"/>
          <w:sz w:val="20"/>
          <w:szCs w:val="20"/>
        </w:rPr>
        <w:t xml:space="preserve"> una capacità di progettazione della User Experience e della User Interface estremamente evoluta ed efficace, migliorando così le performance delle piattaforme digitali e la relativa efficacia in termini di processi e conversioni.</w:t>
      </w:r>
    </w:p>
    <w:p w14:paraId="69CC0000" w14:textId="1C56ED84" w:rsidR="001B462B" w:rsidRDefault="001B462B" w:rsidP="001B462B">
      <w:pPr>
        <w:tabs>
          <w:tab w:val="left" w:pos="1512"/>
        </w:tabs>
        <w:spacing w:after="0" w:line="240" w:lineRule="auto"/>
        <w:jc w:val="both"/>
        <w:rPr>
          <w:color w:val="262626" w:themeColor="text1" w:themeTint="D9"/>
          <w:sz w:val="20"/>
          <w:szCs w:val="20"/>
        </w:rPr>
      </w:pPr>
    </w:p>
    <w:p w14:paraId="4DE29135" w14:textId="77777777" w:rsidR="006970CD" w:rsidRDefault="006970CD" w:rsidP="001B462B">
      <w:pPr>
        <w:tabs>
          <w:tab w:val="left" w:pos="1512"/>
        </w:tabs>
        <w:spacing w:after="0" w:line="240" w:lineRule="auto"/>
        <w:jc w:val="both"/>
        <w:rPr>
          <w:color w:val="262626" w:themeColor="text1" w:themeTint="D9"/>
          <w:sz w:val="20"/>
          <w:szCs w:val="20"/>
        </w:rPr>
      </w:pPr>
    </w:p>
    <w:p w14:paraId="065086BA" w14:textId="77777777" w:rsidR="001B462B" w:rsidRPr="004B10BE" w:rsidRDefault="001B462B" w:rsidP="001B462B">
      <w:pPr>
        <w:spacing w:after="0"/>
        <w:rPr>
          <w:rFonts w:ascii="Arial" w:hAnsi="Arial" w:cs="Arial"/>
          <w:b/>
          <w:bCs/>
          <w:i/>
          <w:iCs/>
          <w:color w:val="C00000"/>
          <w:sz w:val="18"/>
          <w:szCs w:val="18"/>
          <w:lang w:eastAsia="it-IT"/>
        </w:rPr>
      </w:pPr>
      <w:r w:rsidRPr="004B10BE">
        <w:rPr>
          <w:rFonts w:ascii="Arial" w:hAnsi="Arial" w:cs="Arial"/>
          <w:b/>
          <w:bCs/>
          <w:i/>
          <w:iCs/>
          <w:color w:val="C00000"/>
          <w:sz w:val="18"/>
          <w:szCs w:val="18"/>
          <w:lang w:eastAsia="it-IT"/>
        </w:rPr>
        <w:t>Ufficio Stampa</w:t>
      </w:r>
    </w:p>
    <w:p w14:paraId="5A4D4158" w14:textId="77777777" w:rsidR="001B462B" w:rsidRPr="004B10BE" w:rsidRDefault="001B462B" w:rsidP="001B462B">
      <w:pPr>
        <w:spacing w:after="0"/>
        <w:rPr>
          <w:rFonts w:ascii="Arial" w:hAnsi="Arial" w:cs="Arial"/>
          <w:b/>
          <w:bCs/>
          <w:color w:val="595959"/>
          <w:sz w:val="14"/>
          <w:szCs w:val="14"/>
          <w:lang w:eastAsia="it-IT"/>
        </w:rPr>
      </w:pPr>
      <w:r w:rsidRPr="004B10BE">
        <w:rPr>
          <w:rFonts w:ascii="Arial" w:hAnsi="Arial" w:cs="Arial"/>
          <w:b/>
          <w:bCs/>
          <w:color w:val="595959"/>
          <w:sz w:val="14"/>
          <w:szCs w:val="14"/>
          <w:lang w:eastAsia="it-IT"/>
        </w:rPr>
        <w:t xml:space="preserve">Francesca Leggio </w:t>
      </w:r>
      <w:hyperlink r:id="rId11" w:history="1">
        <w:r w:rsidRPr="004B10BE">
          <w:rPr>
            <w:rFonts w:ascii="Arial" w:hAnsi="Arial" w:cs="Arial"/>
            <w:color w:val="0563C1"/>
            <w:sz w:val="14"/>
            <w:szCs w:val="14"/>
            <w:u w:val="single"/>
            <w:lang w:eastAsia="it-IT"/>
          </w:rPr>
          <w:t>francesca.leggio@imagine.it</w:t>
        </w:r>
      </w:hyperlink>
      <w:r w:rsidRPr="004B10BE">
        <w:rPr>
          <w:rFonts w:ascii="Arial" w:hAnsi="Arial" w:cs="Arial"/>
          <w:color w:val="595959"/>
          <w:sz w:val="14"/>
          <w:szCs w:val="14"/>
          <w:lang w:eastAsia="it-IT"/>
        </w:rPr>
        <w:t xml:space="preserve"> </w:t>
      </w:r>
      <w:r w:rsidRPr="004B10BE">
        <w:rPr>
          <w:rFonts w:ascii="Arial" w:hAnsi="Arial" w:cs="Arial"/>
          <w:b/>
          <w:bCs/>
          <w:color w:val="595959"/>
          <w:sz w:val="14"/>
          <w:szCs w:val="14"/>
          <w:lang w:eastAsia="it-IT"/>
        </w:rPr>
        <w:t xml:space="preserve">| </w:t>
      </w:r>
      <w:r w:rsidRPr="004B10BE">
        <w:rPr>
          <w:rFonts w:ascii="Arial" w:hAnsi="Arial" w:cs="Arial"/>
          <w:color w:val="595959"/>
          <w:sz w:val="14"/>
          <w:szCs w:val="14"/>
          <w:lang w:eastAsia="it-IT"/>
        </w:rPr>
        <w:t>3420128488</w:t>
      </w:r>
    </w:p>
    <w:p w14:paraId="60D0BA83" w14:textId="77777777" w:rsidR="001B462B" w:rsidRPr="000F22E1" w:rsidRDefault="001B462B" w:rsidP="001B462B">
      <w:pPr>
        <w:spacing w:after="0"/>
        <w:rPr>
          <w:rFonts w:ascii="Calibri" w:hAnsi="Calibri" w:cs="Calibri"/>
          <w:i/>
          <w:iCs/>
          <w:sz w:val="16"/>
          <w:szCs w:val="16"/>
        </w:rPr>
      </w:pPr>
      <w:r w:rsidRPr="004B10BE">
        <w:rPr>
          <w:rFonts w:ascii="Arial" w:hAnsi="Arial" w:cs="Arial"/>
          <w:b/>
          <w:bCs/>
          <w:color w:val="595959"/>
          <w:sz w:val="14"/>
          <w:szCs w:val="14"/>
          <w:lang w:eastAsia="it-IT"/>
        </w:rPr>
        <w:t xml:space="preserve">Maria Pine </w:t>
      </w:r>
      <w:hyperlink r:id="rId12" w:history="1">
        <w:r w:rsidRPr="004B10BE">
          <w:rPr>
            <w:rFonts w:ascii="Arial" w:hAnsi="Arial" w:cs="Arial"/>
            <w:color w:val="0563C1"/>
            <w:sz w:val="14"/>
            <w:szCs w:val="14"/>
            <w:u w:val="single"/>
            <w:lang w:eastAsia="it-IT"/>
          </w:rPr>
          <w:t>maria.pine@imagine.it</w:t>
        </w:r>
      </w:hyperlink>
      <w:r w:rsidRPr="004B10BE">
        <w:rPr>
          <w:rFonts w:ascii="Arial" w:hAnsi="Arial" w:cs="Arial"/>
          <w:b/>
          <w:bCs/>
          <w:color w:val="595959"/>
          <w:sz w:val="14"/>
          <w:szCs w:val="14"/>
          <w:lang w:eastAsia="it-IT"/>
        </w:rPr>
        <w:t xml:space="preserve"> | </w:t>
      </w:r>
      <w:r w:rsidRPr="004B10BE">
        <w:rPr>
          <w:rFonts w:ascii="Arial" w:hAnsi="Arial" w:cs="Arial"/>
          <w:color w:val="595959"/>
          <w:sz w:val="14"/>
          <w:szCs w:val="14"/>
          <w:lang w:eastAsia="it-IT"/>
        </w:rPr>
        <w:t>349 080 5866</w:t>
      </w:r>
      <w:r w:rsidRPr="004B10BE">
        <w:rPr>
          <w:i/>
          <w:iCs/>
          <w:sz w:val="16"/>
          <w:szCs w:val="16"/>
        </w:rPr>
        <w:t xml:space="preserve"> </w:t>
      </w:r>
    </w:p>
    <w:p w14:paraId="2A8DBCB7" w14:textId="1A8D7759" w:rsidR="00134EE7" w:rsidRDefault="00134EE7" w:rsidP="00134EE7"/>
    <w:p w14:paraId="19F16A58" w14:textId="77777777" w:rsidR="000D1F66" w:rsidRPr="00756214" w:rsidRDefault="000D1F66" w:rsidP="000D1F66">
      <w:pPr>
        <w:spacing w:after="0" w:line="220" w:lineRule="exact"/>
        <w:jc w:val="both"/>
      </w:pPr>
      <w:r w:rsidRPr="00756214">
        <w:t>Contatti Blue Ocean Finance:</w:t>
      </w:r>
    </w:p>
    <w:p w14:paraId="5D8968BD" w14:textId="77777777" w:rsidR="000D1F66" w:rsidRPr="00756214" w:rsidRDefault="000D1F66" w:rsidP="000D1F66">
      <w:pPr>
        <w:spacing w:after="0" w:line="220" w:lineRule="exact"/>
        <w:jc w:val="both"/>
        <w:rPr>
          <w:rFonts w:ascii="Arial" w:eastAsia="Arial" w:hAnsi="Arial" w:cs="Arial"/>
          <w:sz w:val="18"/>
          <w:szCs w:val="18"/>
        </w:rPr>
      </w:pPr>
      <w:r w:rsidRPr="00756214">
        <w:rPr>
          <w:b/>
          <w:bCs/>
        </w:rPr>
        <w:t>Barabino &amp; Partners</w:t>
      </w:r>
      <w:r w:rsidRPr="00756214">
        <w:rPr>
          <w:rFonts w:ascii="Arial" w:eastAsia="Calibri" w:hAnsi="Arial"/>
          <w:b/>
          <w:bCs/>
          <w:sz w:val="18"/>
          <w:szCs w:val="18"/>
        </w:rPr>
        <w:t xml:space="preserve"> </w:t>
      </w:r>
      <w:r w:rsidRPr="00756214">
        <w:rPr>
          <w:rFonts w:ascii="Arial" w:eastAsia="Calibri" w:hAnsi="Arial"/>
          <w:b/>
          <w:bCs/>
          <w:sz w:val="18"/>
          <w:szCs w:val="18"/>
        </w:rPr>
        <w:tab/>
      </w:r>
      <w:r w:rsidRPr="00756214">
        <w:rPr>
          <w:rFonts w:ascii="Arial" w:eastAsia="Arial" w:hAnsi="Arial" w:cs="Arial"/>
          <w:sz w:val="18"/>
          <w:szCs w:val="18"/>
        </w:rPr>
        <w:tab/>
      </w:r>
      <w:r w:rsidRPr="00756214">
        <w:rPr>
          <w:rFonts w:ascii="Arial" w:eastAsia="Arial" w:hAnsi="Arial" w:cs="Arial"/>
          <w:sz w:val="18"/>
          <w:szCs w:val="18"/>
        </w:rPr>
        <w:tab/>
      </w:r>
      <w:r w:rsidRPr="00756214">
        <w:rPr>
          <w:rFonts w:ascii="Arial" w:eastAsia="Arial" w:hAnsi="Arial" w:cs="Arial"/>
          <w:sz w:val="18"/>
          <w:szCs w:val="18"/>
        </w:rPr>
        <w:tab/>
      </w:r>
      <w:r w:rsidRPr="00756214">
        <w:rPr>
          <w:rFonts w:ascii="Arial" w:eastAsia="Arial" w:hAnsi="Arial" w:cs="Arial"/>
          <w:sz w:val="18"/>
          <w:szCs w:val="18"/>
        </w:rPr>
        <w:tab/>
      </w:r>
      <w:r w:rsidRPr="00756214">
        <w:rPr>
          <w:rFonts w:ascii="Arial" w:eastAsia="Arial" w:hAnsi="Arial" w:cs="Arial"/>
          <w:sz w:val="18"/>
          <w:szCs w:val="18"/>
        </w:rPr>
        <w:tab/>
      </w:r>
      <w:r w:rsidRPr="00756214">
        <w:rPr>
          <w:rFonts w:ascii="Arial" w:eastAsia="Arial" w:hAnsi="Arial" w:cs="Arial"/>
          <w:sz w:val="18"/>
          <w:szCs w:val="18"/>
        </w:rPr>
        <w:tab/>
      </w:r>
      <w:r w:rsidRPr="00756214">
        <w:rPr>
          <w:rFonts w:ascii="Arial" w:eastAsia="Calibri" w:hAnsi="Arial"/>
          <w:sz w:val="18"/>
          <w:szCs w:val="18"/>
        </w:rPr>
        <w:tab/>
        <w:t xml:space="preserve"> </w:t>
      </w:r>
    </w:p>
    <w:p w14:paraId="7B841264" w14:textId="77777777" w:rsidR="000D1F66" w:rsidRPr="00756214" w:rsidRDefault="000D1F66" w:rsidP="000D1F66">
      <w:pPr>
        <w:spacing w:after="0" w:line="220" w:lineRule="exact"/>
        <w:jc w:val="both"/>
      </w:pPr>
      <w:r w:rsidRPr="00756214">
        <w:t>Allegra Ardemagni – Cell.: 339.450.61.44</w:t>
      </w:r>
    </w:p>
    <w:p w14:paraId="14C29093" w14:textId="77777777" w:rsidR="000D1F66" w:rsidRPr="00756214" w:rsidRDefault="000D1F66" w:rsidP="000D1F66">
      <w:pPr>
        <w:spacing w:after="0" w:line="220" w:lineRule="exact"/>
        <w:jc w:val="both"/>
      </w:pPr>
      <w:r w:rsidRPr="00756214">
        <w:t>Emilio Farina – Cell.: 339.230.85.72</w:t>
      </w:r>
      <w:r w:rsidRPr="00756214">
        <w:tab/>
      </w:r>
      <w:r w:rsidRPr="00756214">
        <w:tab/>
      </w:r>
      <w:r w:rsidRPr="00756214">
        <w:tab/>
      </w:r>
      <w:r w:rsidRPr="00756214">
        <w:tab/>
      </w:r>
    </w:p>
    <w:p w14:paraId="07310FD4" w14:textId="77777777" w:rsidR="000D1F66" w:rsidRPr="00756214" w:rsidRDefault="000D1F66" w:rsidP="000D1F66">
      <w:pPr>
        <w:spacing w:after="0" w:line="220" w:lineRule="exact"/>
        <w:jc w:val="both"/>
      </w:pPr>
      <w:r w:rsidRPr="00756214">
        <w:t xml:space="preserve">Tel.: 06.679.29.29 </w:t>
      </w:r>
    </w:p>
    <w:p w14:paraId="40285405" w14:textId="77777777" w:rsidR="00134EE7" w:rsidRPr="00756214" w:rsidRDefault="00134EE7" w:rsidP="00134EE7"/>
    <w:sectPr w:rsidR="00134EE7" w:rsidRPr="007562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E7"/>
    <w:rsid w:val="000A7F91"/>
    <w:rsid w:val="000D1F66"/>
    <w:rsid w:val="00134EE7"/>
    <w:rsid w:val="001708A2"/>
    <w:rsid w:val="001B0180"/>
    <w:rsid w:val="001B462B"/>
    <w:rsid w:val="001F6784"/>
    <w:rsid w:val="00255C7A"/>
    <w:rsid w:val="002612D8"/>
    <w:rsid w:val="0030010F"/>
    <w:rsid w:val="00350102"/>
    <w:rsid w:val="004172AB"/>
    <w:rsid w:val="004D1D65"/>
    <w:rsid w:val="00691888"/>
    <w:rsid w:val="006970CD"/>
    <w:rsid w:val="006C5C65"/>
    <w:rsid w:val="007453CC"/>
    <w:rsid w:val="00755811"/>
    <w:rsid w:val="00756214"/>
    <w:rsid w:val="007C6E01"/>
    <w:rsid w:val="007E1AE5"/>
    <w:rsid w:val="007E61C3"/>
    <w:rsid w:val="008431CA"/>
    <w:rsid w:val="008C6BA9"/>
    <w:rsid w:val="009333C8"/>
    <w:rsid w:val="009C19E1"/>
    <w:rsid w:val="00A32B3C"/>
    <w:rsid w:val="00B67DFB"/>
    <w:rsid w:val="00B73233"/>
    <w:rsid w:val="00BA0D10"/>
    <w:rsid w:val="00C154D5"/>
    <w:rsid w:val="00C76BC0"/>
    <w:rsid w:val="00CA51AF"/>
    <w:rsid w:val="00D85FCD"/>
    <w:rsid w:val="00DE6A65"/>
    <w:rsid w:val="00EA6189"/>
    <w:rsid w:val="00F12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EAC7"/>
  <w15:chartTrackingRefBased/>
  <w15:docId w15:val="{84966B89-C171-4B05-8F27-FF78549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55811"/>
    <w:rPr>
      <w:sz w:val="16"/>
      <w:szCs w:val="16"/>
    </w:rPr>
  </w:style>
  <w:style w:type="paragraph" w:styleId="Testocommento">
    <w:name w:val="annotation text"/>
    <w:basedOn w:val="Normale"/>
    <w:link w:val="TestocommentoCarattere"/>
    <w:uiPriority w:val="99"/>
    <w:semiHidden/>
    <w:unhideWhenUsed/>
    <w:rsid w:val="007558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55811"/>
    <w:rPr>
      <w:sz w:val="20"/>
      <w:szCs w:val="20"/>
    </w:rPr>
  </w:style>
  <w:style w:type="paragraph" w:styleId="Soggettocommento">
    <w:name w:val="annotation subject"/>
    <w:basedOn w:val="Testocommento"/>
    <w:next w:val="Testocommento"/>
    <w:link w:val="SoggettocommentoCarattere"/>
    <w:uiPriority w:val="99"/>
    <w:semiHidden/>
    <w:unhideWhenUsed/>
    <w:rsid w:val="00755811"/>
    <w:rPr>
      <w:b/>
      <w:bCs/>
    </w:rPr>
  </w:style>
  <w:style w:type="character" w:customStyle="1" w:styleId="SoggettocommentoCarattere">
    <w:name w:val="Soggetto commento Carattere"/>
    <w:basedOn w:val="TestocommentoCarattere"/>
    <w:link w:val="Soggettocommento"/>
    <w:uiPriority w:val="99"/>
    <w:semiHidden/>
    <w:rsid w:val="00755811"/>
    <w:rPr>
      <w:b/>
      <w:bCs/>
      <w:sz w:val="20"/>
      <w:szCs w:val="20"/>
    </w:rPr>
  </w:style>
  <w:style w:type="character" w:styleId="Collegamentoipertestuale">
    <w:name w:val="Hyperlink"/>
    <w:basedOn w:val="Carpredefinitoparagrafo"/>
    <w:uiPriority w:val="99"/>
    <w:unhideWhenUsed/>
    <w:rsid w:val="001B462B"/>
    <w:rPr>
      <w:color w:val="0563C1" w:themeColor="hyperlink"/>
      <w:u w:val="single"/>
    </w:rPr>
  </w:style>
  <w:style w:type="character" w:styleId="Menzionenonrisolta">
    <w:name w:val="Unresolved Mention"/>
    <w:basedOn w:val="Carpredefinitoparagrafo"/>
    <w:uiPriority w:val="99"/>
    <w:semiHidden/>
    <w:unhideWhenUsed/>
    <w:rsid w:val="00417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7785">
      <w:bodyDiv w:val="1"/>
      <w:marLeft w:val="0"/>
      <w:marRight w:val="0"/>
      <w:marTop w:val="0"/>
      <w:marBottom w:val="0"/>
      <w:divBdr>
        <w:top w:val="none" w:sz="0" w:space="0" w:color="auto"/>
        <w:left w:val="none" w:sz="0" w:space="0" w:color="auto"/>
        <w:bottom w:val="none" w:sz="0" w:space="0" w:color="auto"/>
        <w:right w:val="none" w:sz="0" w:space="0" w:color="auto"/>
      </w:divBdr>
    </w:div>
    <w:div w:id="19419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lswrgroup.com%2F&amp;data=05%7C01%7Cm.pine%40lswr.it%7Cdf574ddacec241a3a0bf08da5e886898%7C64f832ac53e44b659580861b10c03c46%7C0%7C0%7C637926237201894626%7CUnknown%7CTWFpbGZsb3d8eyJWIjoiMC4wLjAwMDAiLCJQIjoiV2luMzIiLCJBTiI6Ik1haWwiLCJXVCI6Mn0%3D%7C3000%7C%7C%7C&amp;sdata=3g07jU%2FhTq%2FiKkntVCFw1ox8W%2Bm81xtAB3618jjySwo%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maria.pine@imagi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francesca.leggio@imagine.it" TargetMode="External"/><Relationship Id="rId5" Type="http://schemas.openxmlformats.org/officeDocument/2006/relationships/image" Target="media/image2.png"/><Relationship Id="rId10" Type="http://schemas.openxmlformats.org/officeDocument/2006/relationships/hyperlink" Target="https://www.conflux.it/it/" TargetMode="External"/><Relationship Id="rId4" Type="http://schemas.openxmlformats.org/officeDocument/2006/relationships/image" Target="media/image1.png"/><Relationship Id="rId9" Type="http://schemas.openxmlformats.org/officeDocument/2006/relationships/hyperlink" Target="https://www.edrasp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1043</Words>
  <Characters>5949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Ludovico Baldessin</dc:creator>
  <cp:keywords/>
  <dc:description/>
  <cp:lastModifiedBy>Farina Emilio</cp:lastModifiedBy>
  <cp:revision>3</cp:revision>
  <dcterms:created xsi:type="dcterms:W3CDTF">2022-07-07T08:18:00Z</dcterms:created>
  <dcterms:modified xsi:type="dcterms:W3CDTF">2022-07-07T08:55:00Z</dcterms:modified>
</cp:coreProperties>
</file>