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BF91B" w14:textId="2DE8E754" w:rsidR="00683E36" w:rsidRDefault="00683E36" w:rsidP="00683E36">
      <w:pPr>
        <w:ind w:left="284" w:right="282"/>
        <w:jc w:val="both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14:paraId="5AFF5C54" w14:textId="1185E20D" w:rsidR="00ED610F" w:rsidRDefault="00ED610F" w:rsidP="00683E36">
      <w:pPr>
        <w:ind w:left="284" w:right="282"/>
        <w:jc w:val="both"/>
        <w:rPr>
          <w:rFonts w:ascii="Verdana" w:hAnsi="Verdana"/>
          <w:b/>
          <w:bCs/>
          <w:sz w:val="20"/>
          <w:szCs w:val="20"/>
        </w:rPr>
      </w:pPr>
    </w:p>
    <w:p w14:paraId="0065C244" w14:textId="48B059A0" w:rsidR="00ED610F" w:rsidRDefault="00F37D3C" w:rsidP="00ED610F">
      <w:pPr>
        <w:spacing w:line="240" w:lineRule="atLeast"/>
        <w:ind w:left="284" w:right="709"/>
        <w:jc w:val="both"/>
        <w:rPr>
          <w:rFonts w:ascii="Verdana" w:hAnsi="Verdana"/>
          <w:b/>
          <w:bCs/>
          <w:sz w:val="20"/>
          <w:szCs w:val="20"/>
        </w:rPr>
      </w:pPr>
      <w:r w:rsidRPr="00F37D3C">
        <w:rPr>
          <w:rFonts w:ascii="Verdana" w:hAnsi="Verdana"/>
          <w:b/>
          <w:bCs/>
          <w:sz w:val="20"/>
          <w:szCs w:val="20"/>
        </w:rPr>
        <w:t>GITTI AND PARTNERS E APOLLO &amp; ASSOCIATI PER L’ACQUISIZIONE DI UN PORTAFOGLIO DI SEI IMMOBILI LOGISTICI UBICATI NEL NORD ITALIA</w:t>
      </w:r>
    </w:p>
    <w:p w14:paraId="04E90D12" w14:textId="77777777" w:rsidR="00ED610F" w:rsidRDefault="00ED610F" w:rsidP="00ED610F">
      <w:pPr>
        <w:spacing w:line="240" w:lineRule="atLeast"/>
        <w:ind w:left="284" w:right="709"/>
        <w:jc w:val="both"/>
        <w:rPr>
          <w:rFonts w:ascii="Verdana" w:hAnsi="Verdana"/>
          <w:b/>
          <w:bCs/>
          <w:sz w:val="20"/>
          <w:szCs w:val="20"/>
        </w:rPr>
      </w:pPr>
    </w:p>
    <w:p w14:paraId="7CA8C6AB" w14:textId="71DA960A" w:rsidR="00ED610F" w:rsidRDefault="00ED610F" w:rsidP="00ED610F">
      <w:pPr>
        <w:spacing w:line="240" w:lineRule="atLeast"/>
        <w:ind w:left="284" w:right="709"/>
        <w:jc w:val="both"/>
        <w:rPr>
          <w:rFonts w:ascii="Verdana" w:hAnsi="Verdana"/>
          <w:b/>
          <w:bCs/>
          <w:sz w:val="20"/>
          <w:szCs w:val="20"/>
        </w:rPr>
      </w:pPr>
    </w:p>
    <w:p w14:paraId="69BAEAA7" w14:textId="64CA6BC9" w:rsidR="00ED610F" w:rsidRDefault="00F37D3C" w:rsidP="00ED610F">
      <w:pPr>
        <w:spacing w:line="240" w:lineRule="atLeast"/>
        <w:ind w:left="284" w:right="709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  <w:lang w:eastAsia="it-IT"/>
        </w:rPr>
        <w:drawing>
          <wp:inline distT="0" distB="0" distL="0" distR="0" wp14:anchorId="21656A3F" wp14:editId="23382403">
            <wp:extent cx="3996264" cy="1929088"/>
            <wp:effectExtent l="0" t="0" r="4445" b="0"/>
            <wp:docPr id="4" name="Immagine 4" descr="\\MLSIDOC01\UserSettings\veniglir\Desktop\desktop\oggi\Roncoroni - Apo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LSIDOC01\UserSettings\veniglir\Desktop\desktop\oggi\Roncoroni - Apoll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070" cy="193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3B07F" w14:textId="77777777" w:rsidR="00ED610F" w:rsidRPr="00ED610F" w:rsidRDefault="00ED610F" w:rsidP="00ED610F">
      <w:pPr>
        <w:spacing w:line="240" w:lineRule="atLeast"/>
        <w:ind w:left="284" w:right="709"/>
        <w:jc w:val="both"/>
        <w:rPr>
          <w:rFonts w:ascii="Verdana" w:hAnsi="Verdana"/>
          <w:bCs/>
          <w:sz w:val="20"/>
          <w:szCs w:val="20"/>
        </w:rPr>
      </w:pPr>
    </w:p>
    <w:p w14:paraId="72907BD3" w14:textId="77777777" w:rsidR="00ED610F" w:rsidRDefault="00ED610F" w:rsidP="00ED610F">
      <w:pPr>
        <w:spacing w:line="240" w:lineRule="atLeast"/>
        <w:ind w:left="284" w:right="709"/>
        <w:jc w:val="both"/>
        <w:rPr>
          <w:rFonts w:ascii="Verdana" w:hAnsi="Verdana"/>
          <w:bCs/>
          <w:sz w:val="20"/>
          <w:szCs w:val="20"/>
        </w:rPr>
      </w:pPr>
    </w:p>
    <w:p w14:paraId="6C576AFF" w14:textId="58F9158D" w:rsidR="00F37D3C" w:rsidRDefault="00ED610F" w:rsidP="00F37D3C">
      <w:pPr>
        <w:spacing w:line="240" w:lineRule="atLeast"/>
        <w:ind w:left="284" w:right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Milano, </w:t>
      </w:r>
      <w:r w:rsidR="00F37D3C">
        <w:rPr>
          <w:rFonts w:ascii="Verdana" w:hAnsi="Verdana"/>
          <w:bCs/>
          <w:sz w:val="20"/>
          <w:szCs w:val="20"/>
        </w:rPr>
        <w:t>25 luglio</w:t>
      </w:r>
      <w:r>
        <w:rPr>
          <w:rFonts w:ascii="Verdana" w:hAnsi="Verdana"/>
          <w:bCs/>
          <w:sz w:val="20"/>
          <w:szCs w:val="20"/>
        </w:rPr>
        <w:t xml:space="preserve"> 2022 - </w:t>
      </w:r>
      <w:r w:rsidR="00F37D3C" w:rsidRPr="00F37D3C">
        <w:rPr>
          <w:rFonts w:ascii="Verdana" w:hAnsi="Verdana"/>
          <w:bCs/>
          <w:iCs/>
          <w:sz w:val="20"/>
          <w:szCs w:val="20"/>
        </w:rPr>
        <w:t xml:space="preserve">Gitti and Partners ha assistito </w:t>
      </w:r>
      <w:r w:rsidR="00F37D3C" w:rsidRPr="00F37D3C">
        <w:rPr>
          <w:rFonts w:ascii="Verdana" w:hAnsi="Verdana"/>
          <w:bCs/>
          <w:sz w:val="20"/>
          <w:szCs w:val="20"/>
        </w:rPr>
        <w:t xml:space="preserve">AXA IM </w:t>
      </w:r>
      <w:proofErr w:type="spellStart"/>
      <w:r w:rsidR="00F37D3C" w:rsidRPr="00F37D3C">
        <w:rPr>
          <w:rFonts w:ascii="Verdana" w:hAnsi="Verdana"/>
          <w:bCs/>
          <w:iCs/>
          <w:sz w:val="20"/>
          <w:szCs w:val="20"/>
        </w:rPr>
        <w:t>Alts</w:t>
      </w:r>
      <w:proofErr w:type="spellEnd"/>
      <w:r w:rsidR="00F37D3C" w:rsidRPr="00F37D3C">
        <w:rPr>
          <w:rFonts w:ascii="Verdana" w:hAnsi="Verdana"/>
          <w:bCs/>
          <w:sz w:val="20"/>
          <w:szCs w:val="20"/>
        </w:rPr>
        <w:t xml:space="preserve">, che ha agito per conto di alcuni dei propri clienti, nell’acquisizione di un portafoglio composto da sei immobili a destinazione logistica </w:t>
      </w:r>
      <w:r w:rsidR="00F37D3C" w:rsidRPr="00F37D3C">
        <w:rPr>
          <w:rFonts w:ascii="Verdana" w:hAnsi="Verdana"/>
          <w:bCs/>
          <w:i/>
          <w:sz w:val="20"/>
          <w:szCs w:val="20"/>
        </w:rPr>
        <w:t>last-</w:t>
      </w:r>
      <w:proofErr w:type="spellStart"/>
      <w:r w:rsidR="00F37D3C" w:rsidRPr="00F37D3C">
        <w:rPr>
          <w:rFonts w:ascii="Verdana" w:hAnsi="Verdana"/>
          <w:bCs/>
          <w:i/>
          <w:sz w:val="20"/>
          <w:szCs w:val="20"/>
        </w:rPr>
        <w:t>mile</w:t>
      </w:r>
      <w:proofErr w:type="spellEnd"/>
      <w:r w:rsidR="00F37D3C" w:rsidRPr="00F37D3C">
        <w:rPr>
          <w:rFonts w:ascii="Verdana" w:hAnsi="Verdana"/>
          <w:bCs/>
          <w:sz w:val="20"/>
          <w:szCs w:val="20"/>
        </w:rPr>
        <w:t>.</w:t>
      </w:r>
    </w:p>
    <w:p w14:paraId="66BCB649" w14:textId="77777777" w:rsidR="00F37D3C" w:rsidRPr="00F37D3C" w:rsidRDefault="00F37D3C" w:rsidP="00F37D3C">
      <w:pPr>
        <w:spacing w:line="240" w:lineRule="atLeast"/>
        <w:ind w:left="284" w:right="709"/>
        <w:jc w:val="both"/>
        <w:rPr>
          <w:rFonts w:ascii="Verdana" w:hAnsi="Verdana"/>
          <w:bCs/>
          <w:sz w:val="20"/>
          <w:szCs w:val="20"/>
        </w:rPr>
      </w:pPr>
    </w:p>
    <w:p w14:paraId="70B09984" w14:textId="70A9F638" w:rsidR="00F37D3C" w:rsidRDefault="00F37D3C" w:rsidP="00F37D3C">
      <w:pPr>
        <w:spacing w:line="240" w:lineRule="atLeast"/>
        <w:ind w:left="284" w:right="709"/>
        <w:jc w:val="both"/>
        <w:rPr>
          <w:rFonts w:ascii="Verdana" w:hAnsi="Verdana"/>
          <w:bCs/>
          <w:iCs/>
          <w:sz w:val="20"/>
          <w:szCs w:val="20"/>
        </w:rPr>
      </w:pPr>
      <w:r w:rsidRPr="00F37D3C">
        <w:rPr>
          <w:rFonts w:ascii="Verdana" w:hAnsi="Verdana"/>
          <w:bCs/>
          <w:iCs/>
          <w:sz w:val="20"/>
          <w:szCs w:val="20"/>
        </w:rPr>
        <w:t xml:space="preserve">Gli immobili sono strategicamente posizionati a ridosso delle aree urbane di alcune fra le maggiori città del nord Italia e sono interamente locati sulla base di contratti di lunga durata. </w:t>
      </w:r>
    </w:p>
    <w:p w14:paraId="4357AB2B" w14:textId="77777777" w:rsidR="00F37D3C" w:rsidRPr="00F37D3C" w:rsidRDefault="00F37D3C" w:rsidP="00F37D3C">
      <w:pPr>
        <w:spacing w:line="240" w:lineRule="atLeast"/>
        <w:ind w:left="284" w:right="709"/>
        <w:jc w:val="both"/>
        <w:rPr>
          <w:rFonts w:ascii="Verdana" w:hAnsi="Verdana"/>
          <w:bCs/>
          <w:iCs/>
          <w:sz w:val="20"/>
          <w:szCs w:val="20"/>
        </w:rPr>
      </w:pPr>
    </w:p>
    <w:p w14:paraId="41FE57E9" w14:textId="154E6EF5" w:rsidR="00F37D3C" w:rsidRDefault="00F37D3C" w:rsidP="00F37D3C">
      <w:pPr>
        <w:spacing w:line="240" w:lineRule="atLeast"/>
        <w:ind w:left="284" w:right="709"/>
        <w:jc w:val="both"/>
        <w:rPr>
          <w:rFonts w:ascii="Verdana" w:hAnsi="Verdana"/>
          <w:bCs/>
          <w:iCs/>
          <w:sz w:val="20"/>
          <w:szCs w:val="20"/>
        </w:rPr>
      </w:pPr>
      <w:r w:rsidRPr="00F37D3C">
        <w:rPr>
          <w:rFonts w:ascii="Verdana" w:hAnsi="Verdana"/>
          <w:bCs/>
          <w:iCs/>
          <w:sz w:val="20"/>
          <w:szCs w:val="20"/>
        </w:rPr>
        <w:t xml:space="preserve">L’operazione, avviata nel corso del 2021 con l’acquisizione di una prima parte del portafoglio, si è recentemente conclusa con la finalizzazione dell’acquisto della restante parte al termine dei relativi lavori di sviluppo. </w:t>
      </w:r>
    </w:p>
    <w:p w14:paraId="7D037AC7" w14:textId="77777777" w:rsidR="00F37D3C" w:rsidRPr="00F37D3C" w:rsidRDefault="00F37D3C" w:rsidP="00F37D3C">
      <w:pPr>
        <w:spacing w:line="240" w:lineRule="atLeast"/>
        <w:ind w:left="284" w:right="709"/>
        <w:jc w:val="both"/>
        <w:rPr>
          <w:rFonts w:ascii="Verdana" w:hAnsi="Verdana"/>
          <w:bCs/>
          <w:sz w:val="20"/>
          <w:szCs w:val="20"/>
        </w:rPr>
      </w:pPr>
    </w:p>
    <w:p w14:paraId="557F6254" w14:textId="0A83686E" w:rsidR="00F37D3C" w:rsidRDefault="00F37D3C" w:rsidP="00F37D3C">
      <w:pPr>
        <w:spacing w:line="240" w:lineRule="atLeast"/>
        <w:ind w:left="284" w:right="709"/>
        <w:jc w:val="both"/>
        <w:rPr>
          <w:rFonts w:ascii="Verdana" w:hAnsi="Verdana"/>
          <w:bCs/>
          <w:iCs/>
          <w:sz w:val="20"/>
          <w:szCs w:val="20"/>
        </w:rPr>
      </w:pPr>
      <w:r w:rsidRPr="00F37D3C">
        <w:rPr>
          <w:rFonts w:ascii="Verdana" w:hAnsi="Verdana"/>
          <w:bCs/>
          <w:sz w:val="20"/>
          <w:szCs w:val="20"/>
        </w:rPr>
        <w:t xml:space="preserve">Gitti and Partners ha assistito AXA IM </w:t>
      </w:r>
      <w:proofErr w:type="spellStart"/>
      <w:r w:rsidRPr="00F37D3C">
        <w:rPr>
          <w:rFonts w:ascii="Verdana" w:hAnsi="Verdana"/>
          <w:bCs/>
          <w:iCs/>
          <w:sz w:val="20"/>
          <w:szCs w:val="20"/>
        </w:rPr>
        <w:t>Alts</w:t>
      </w:r>
      <w:proofErr w:type="spellEnd"/>
      <w:r w:rsidRPr="00F37D3C">
        <w:rPr>
          <w:rFonts w:ascii="Verdana" w:hAnsi="Verdana"/>
          <w:bCs/>
          <w:sz w:val="20"/>
          <w:szCs w:val="20"/>
        </w:rPr>
        <w:t xml:space="preserve"> con un </w:t>
      </w:r>
      <w:r w:rsidRPr="00F37D3C">
        <w:rPr>
          <w:rFonts w:ascii="Verdana" w:hAnsi="Verdana"/>
          <w:bCs/>
          <w:i/>
          <w:sz w:val="20"/>
          <w:szCs w:val="20"/>
        </w:rPr>
        <w:t>team</w:t>
      </w:r>
      <w:r w:rsidRPr="00F37D3C">
        <w:rPr>
          <w:rFonts w:ascii="Verdana" w:hAnsi="Verdana"/>
          <w:bCs/>
          <w:sz w:val="20"/>
          <w:szCs w:val="20"/>
        </w:rPr>
        <w:t xml:space="preserve"> composto dagli avvocati Stefano Roncoroni (</w:t>
      </w:r>
      <w:r w:rsidRPr="00F37D3C">
        <w:rPr>
          <w:rFonts w:ascii="Verdana" w:hAnsi="Verdana"/>
          <w:bCs/>
          <w:i/>
          <w:sz w:val="20"/>
          <w:szCs w:val="20"/>
        </w:rPr>
        <w:t>partner</w:t>
      </w:r>
      <w:r>
        <w:rPr>
          <w:rFonts w:ascii="Verdana" w:hAnsi="Verdana"/>
          <w:bCs/>
          <w:sz w:val="20"/>
          <w:szCs w:val="20"/>
        </w:rPr>
        <w:t xml:space="preserve"> - in foto a sinistra)</w:t>
      </w:r>
      <w:r w:rsidRPr="00F37D3C">
        <w:rPr>
          <w:rFonts w:ascii="Verdana" w:hAnsi="Verdana"/>
          <w:bCs/>
          <w:sz w:val="20"/>
          <w:szCs w:val="20"/>
        </w:rPr>
        <w:t>, Chiara Perego (</w:t>
      </w:r>
      <w:r w:rsidRPr="00F37D3C">
        <w:rPr>
          <w:rFonts w:ascii="Verdana" w:hAnsi="Verdana"/>
          <w:bCs/>
          <w:i/>
          <w:sz w:val="20"/>
          <w:szCs w:val="20"/>
        </w:rPr>
        <w:t>partner</w:t>
      </w:r>
      <w:r w:rsidRPr="00F37D3C">
        <w:rPr>
          <w:rFonts w:ascii="Verdana" w:hAnsi="Verdana"/>
          <w:bCs/>
          <w:sz w:val="20"/>
          <w:szCs w:val="20"/>
        </w:rPr>
        <w:t xml:space="preserve">), </w:t>
      </w:r>
      <w:r w:rsidRPr="00F37D3C">
        <w:rPr>
          <w:rFonts w:ascii="Verdana" w:hAnsi="Verdana"/>
          <w:bCs/>
          <w:iCs/>
          <w:sz w:val="20"/>
          <w:szCs w:val="20"/>
        </w:rPr>
        <w:t xml:space="preserve">Andrea Imberti </w:t>
      </w:r>
      <w:r w:rsidRPr="00F37D3C">
        <w:rPr>
          <w:rFonts w:ascii="Verdana" w:hAnsi="Verdana"/>
          <w:bCs/>
          <w:sz w:val="20"/>
          <w:szCs w:val="20"/>
        </w:rPr>
        <w:t>(</w:t>
      </w:r>
      <w:r w:rsidRPr="00F37D3C">
        <w:rPr>
          <w:rFonts w:ascii="Verdana" w:hAnsi="Verdana"/>
          <w:bCs/>
          <w:i/>
          <w:iCs/>
          <w:sz w:val="20"/>
          <w:szCs w:val="20"/>
        </w:rPr>
        <w:t xml:space="preserve">senior </w:t>
      </w:r>
      <w:r w:rsidRPr="00F37D3C">
        <w:rPr>
          <w:rFonts w:ascii="Verdana" w:hAnsi="Verdana"/>
          <w:bCs/>
          <w:i/>
          <w:sz w:val="20"/>
          <w:szCs w:val="20"/>
        </w:rPr>
        <w:t>associate</w:t>
      </w:r>
      <w:r w:rsidRPr="00F37D3C">
        <w:rPr>
          <w:rFonts w:ascii="Verdana" w:hAnsi="Verdana"/>
          <w:bCs/>
          <w:sz w:val="20"/>
          <w:szCs w:val="20"/>
        </w:rPr>
        <w:t>), Sara Schiuma (</w:t>
      </w:r>
      <w:r w:rsidRPr="00F37D3C">
        <w:rPr>
          <w:rFonts w:ascii="Verdana" w:hAnsi="Verdana"/>
          <w:bCs/>
          <w:i/>
          <w:sz w:val="20"/>
          <w:szCs w:val="20"/>
        </w:rPr>
        <w:t>associate</w:t>
      </w:r>
      <w:r w:rsidRPr="00F37D3C">
        <w:rPr>
          <w:rFonts w:ascii="Verdana" w:hAnsi="Verdana"/>
          <w:bCs/>
          <w:sz w:val="20"/>
          <w:szCs w:val="20"/>
        </w:rPr>
        <w:t xml:space="preserve">), </w:t>
      </w:r>
      <w:r w:rsidRPr="00F37D3C">
        <w:rPr>
          <w:rFonts w:ascii="Verdana" w:hAnsi="Verdana"/>
          <w:bCs/>
          <w:iCs/>
          <w:sz w:val="20"/>
          <w:szCs w:val="20"/>
        </w:rPr>
        <w:t>Virna Ferretto (</w:t>
      </w:r>
      <w:r w:rsidRPr="00F37D3C">
        <w:rPr>
          <w:rFonts w:ascii="Verdana" w:hAnsi="Verdana"/>
          <w:bCs/>
          <w:i/>
          <w:sz w:val="20"/>
          <w:szCs w:val="20"/>
        </w:rPr>
        <w:t>associate</w:t>
      </w:r>
      <w:r w:rsidRPr="00F37D3C">
        <w:rPr>
          <w:rFonts w:ascii="Verdana" w:hAnsi="Verdana"/>
          <w:bCs/>
          <w:iCs/>
          <w:sz w:val="20"/>
          <w:szCs w:val="20"/>
        </w:rPr>
        <w:t>) e Antonino Di Salvo (</w:t>
      </w:r>
      <w:r w:rsidRPr="00F37D3C">
        <w:rPr>
          <w:rFonts w:ascii="Verdana" w:hAnsi="Verdana"/>
          <w:bCs/>
          <w:i/>
          <w:sz w:val="20"/>
          <w:szCs w:val="20"/>
        </w:rPr>
        <w:t>associate</w:t>
      </w:r>
      <w:r w:rsidRPr="00F37D3C">
        <w:rPr>
          <w:rFonts w:ascii="Verdana" w:hAnsi="Verdana"/>
          <w:bCs/>
          <w:iCs/>
          <w:sz w:val="20"/>
          <w:szCs w:val="20"/>
        </w:rPr>
        <w:t xml:space="preserve">) </w:t>
      </w:r>
      <w:r w:rsidRPr="00F37D3C">
        <w:rPr>
          <w:rFonts w:ascii="Verdana" w:hAnsi="Verdana"/>
          <w:bCs/>
          <w:sz w:val="20"/>
          <w:szCs w:val="20"/>
        </w:rPr>
        <w:t>per gli aspetti contrattuali, societari e immobiliari,</w:t>
      </w:r>
      <w:r w:rsidRPr="00F37D3C">
        <w:rPr>
          <w:rFonts w:ascii="Verdana" w:hAnsi="Verdana"/>
          <w:bCs/>
          <w:iCs/>
          <w:sz w:val="20"/>
          <w:szCs w:val="20"/>
        </w:rPr>
        <w:t xml:space="preserve"> da Laura Sommaruga (</w:t>
      </w:r>
      <w:r w:rsidRPr="00F37D3C">
        <w:rPr>
          <w:rFonts w:ascii="Verdana" w:hAnsi="Verdana"/>
          <w:bCs/>
          <w:i/>
          <w:sz w:val="20"/>
          <w:szCs w:val="20"/>
        </w:rPr>
        <w:t>partner</w:t>
      </w:r>
      <w:r w:rsidRPr="00F37D3C">
        <w:rPr>
          <w:rFonts w:ascii="Verdana" w:hAnsi="Verdana"/>
          <w:bCs/>
          <w:iCs/>
          <w:sz w:val="20"/>
          <w:szCs w:val="20"/>
        </w:rPr>
        <w:t>) e Federico Ianeselli (</w:t>
      </w:r>
      <w:r w:rsidRPr="00F37D3C">
        <w:rPr>
          <w:rFonts w:ascii="Verdana" w:hAnsi="Verdana"/>
          <w:bCs/>
          <w:i/>
          <w:sz w:val="20"/>
          <w:szCs w:val="20"/>
        </w:rPr>
        <w:t>senior associate</w:t>
      </w:r>
      <w:r w:rsidRPr="00F37D3C">
        <w:rPr>
          <w:rFonts w:ascii="Verdana" w:hAnsi="Verdana"/>
          <w:bCs/>
          <w:iCs/>
          <w:sz w:val="20"/>
          <w:szCs w:val="20"/>
        </w:rPr>
        <w:t>) per gli aspetti di diritto amministrativo, edilizia e urbanistica, da Eugenio Maria Mastropaolo (</w:t>
      </w:r>
      <w:proofErr w:type="spellStart"/>
      <w:r w:rsidRPr="00F37D3C">
        <w:rPr>
          <w:rFonts w:ascii="Verdana" w:hAnsi="Verdana"/>
          <w:bCs/>
          <w:i/>
          <w:sz w:val="20"/>
          <w:szCs w:val="20"/>
        </w:rPr>
        <w:t>counsel</w:t>
      </w:r>
      <w:proofErr w:type="spellEnd"/>
      <w:r w:rsidRPr="00F37D3C">
        <w:rPr>
          <w:rFonts w:ascii="Verdana" w:hAnsi="Verdana"/>
          <w:bCs/>
          <w:iCs/>
          <w:sz w:val="20"/>
          <w:szCs w:val="20"/>
        </w:rPr>
        <w:t>) e Valeria Pistoni (</w:t>
      </w:r>
      <w:r w:rsidRPr="00F37D3C">
        <w:rPr>
          <w:rFonts w:ascii="Verdana" w:hAnsi="Verdana"/>
          <w:bCs/>
          <w:i/>
          <w:sz w:val="20"/>
          <w:szCs w:val="20"/>
        </w:rPr>
        <w:t>senior associate</w:t>
      </w:r>
      <w:r w:rsidRPr="00F37D3C">
        <w:rPr>
          <w:rFonts w:ascii="Verdana" w:hAnsi="Verdana"/>
          <w:bCs/>
          <w:iCs/>
          <w:sz w:val="20"/>
          <w:szCs w:val="20"/>
        </w:rPr>
        <w:t>) per gli aspetti regolamentari, e dal dott. Gianluigi Strambi (</w:t>
      </w:r>
      <w:r w:rsidRPr="00F37D3C">
        <w:rPr>
          <w:rFonts w:ascii="Verdana" w:hAnsi="Verdana"/>
          <w:bCs/>
          <w:i/>
          <w:sz w:val="20"/>
          <w:szCs w:val="20"/>
        </w:rPr>
        <w:t>partner</w:t>
      </w:r>
      <w:r w:rsidRPr="00F37D3C">
        <w:rPr>
          <w:rFonts w:ascii="Verdana" w:hAnsi="Verdana"/>
          <w:bCs/>
          <w:iCs/>
          <w:sz w:val="20"/>
          <w:szCs w:val="20"/>
        </w:rPr>
        <w:t xml:space="preserve">) per gli aspetti fiscali. </w:t>
      </w:r>
    </w:p>
    <w:p w14:paraId="37435EFA" w14:textId="77777777" w:rsidR="00F37D3C" w:rsidRPr="00F37D3C" w:rsidRDefault="00F37D3C" w:rsidP="00F37D3C">
      <w:pPr>
        <w:spacing w:line="240" w:lineRule="atLeast"/>
        <w:ind w:left="284" w:right="709"/>
        <w:jc w:val="both"/>
        <w:rPr>
          <w:rFonts w:ascii="Verdana" w:hAnsi="Verdana"/>
          <w:bCs/>
          <w:sz w:val="20"/>
          <w:szCs w:val="20"/>
        </w:rPr>
      </w:pPr>
    </w:p>
    <w:p w14:paraId="12EC24CF" w14:textId="6E49F9C2" w:rsidR="00F37D3C" w:rsidRDefault="00F37D3C" w:rsidP="00F37D3C">
      <w:pPr>
        <w:spacing w:line="240" w:lineRule="atLeast"/>
        <w:ind w:left="284" w:right="709"/>
        <w:jc w:val="both"/>
        <w:rPr>
          <w:rFonts w:ascii="Verdana" w:hAnsi="Verdana"/>
          <w:bCs/>
          <w:iCs/>
          <w:sz w:val="20"/>
          <w:szCs w:val="20"/>
        </w:rPr>
      </w:pPr>
      <w:r w:rsidRPr="00F37D3C">
        <w:rPr>
          <w:rFonts w:ascii="Verdana" w:hAnsi="Verdana"/>
          <w:bCs/>
          <w:sz w:val="20"/>
          <w:szCs w:val="20"/>
        </w:rPr>
        <w:t xml:space="preserve">Le società venditrici sono state assistite dallo studio </w:t>
      </w:r>
      <w:r w:rsidRPr="00F37D3C">
        <w:rPr>
          <w:rFonts w:ascii="Verdana" w:hAnsi="Verdana"/>
          <w:bCs/>
          <w:iCs/>
          <w:sz w:val="20"/>
          <w:szCs w:val="20"/>
        </w:rPr>
        <w:t xml:space="preserve">Apollo &amp; Associati con un </w:t>
      </w:r>
      <w:r w:rsidRPr="00F37D3C">
        <w:rPr>
          <w:rFonts w:ascii="Verdana" w:hAnsi="Verdana"/>
          <w:bCs/>
          <w:i/>
          <w:iCs/>
          <w:sz w:val="20"/>
          <w:szCs w:val="20"/>
        </w:rPr>
        <w:t>team</w:t>
      </w:r>
      <w:r w:rsidRPr="00F37D3C">
        <w:rPr>
          <w:rFonts w:ascii="Verdana" w:hAnsi="Verdana"/>
          <w:bCs/>
          <w:iCs/>
          <w:sz w:val="20"/>
          <w:szCs w:val="20"/>
        </w:rPr>
        <w:t xml:space="preserve"> composto dagli avvocati Davide Apollo (</w:t>
      </w:r>
      <w:r w:rsidRPr="00F37D3C">
        <w:rPr>
          <w:rFonts w:ascii="Verdana" w:hAnsi="Verdana"/>
          <w:bCs/>
          <w:i/>
          <w:sz w:val="20"/>
          <w:szCs w:val="20"/>
        </w:rPr>
        <w:t>partner</w:t>
      </w:r>
      <w:r>
        <w:rPr>
          <w:rFonts w:ascii="Verdana" w:hAnsi="Verdana"/>
          <w:bCs/>
          <w:i/>
          <w:sz w:val="20"/>
          <w:szCs w:val="20"/>
        </w:rPr>
        <w:t xml:space="preserve"> –</w:t>
      </w:r>
      <w:r>
        <w:rPr>
          <w:rFonts w:ascii="Verdana" w:hAnsi="Verdana"/>
          <w:bCs/>
          <w:sz w:val="20"/>
          <w:szCs w:val="20"/>
        </w:rPr>
        <w:t xml:space="preserve"> in foto a destra</w:t>
      </w:r>
      <w:r w:rsidRPr="00F37D3C">
        <w:rPr>
          <w:rFonts w:ascii="Verdana" w:hAnsi="Verdana"/>
          <w:bCs/>
          <w:iCs/>
          <w:sz w:val="20"/>
          <w:szCs w:val="20"/>
        </w:rPr>
        <w:t xml:space="preserve">) e Beatrice </w:t>
      </w:r>
      <w:proofErr w:type="spellStart"/>
      <w:r w:rsidRPr="00F37D3C">
        <w:rPr>
          <w:rFonts w:ascii="Verdana" w:hAnsi="Verdana"/>
          <w:bCs/>
          <w:iCs/>
          <w:sz w:val="20"/>
          <w:szCs w:val="20"/>
        </w:rPr>
        <w:t>Leonte</w:t>
      </w:r>
      <w:proofErr w:type="spellEnd"/>
      <w:r w:rsidRPr="00F37D3C">
        <w:rPr>
          <w:rFonts w:ascii="Verdana" w:hAnsi="Verdana"/>
          <w:bCs/>
          <w:iCs/>
          <w:sz w:val="20"/>
          <w:szCs w:val="20"/>
        </w:rPr>
        <w:t xml:space="preserve"> (</w:t>
      </w:r>
      <w:r w:rsidRPr="00F37D3C">
        <w:rPr>
          <w:rFonts w:ascii="Verdana" w:hAnsi="Verdana"/>
          <w:bCs/>
          <w:i/>
          <w:sz w:val="20"/>
          <w:szCs w:val="20"/>
        </w:rPr>
        <w:t>senior</w:t>
      </w:r>
      <w:r w:rsidRPr="00F37D3C">
        <w:rPr>
          <w:rFonts w:ascii="Verdana" w:hAnsi="Verdana"/>
          <w:bCs/>
          <w:iCs/>
          <w:sz w:val="20"/>
          <w:szCs w:val="20"/>
        </w:rPr>
        <w:t xml:space="preserve"> </w:t>
      </w:r>
      <w:r w:rsidRPr="00F37D3C">
        <w:rPr>
          <w:rFonts w:ascii="Verdana" w:hAnsi="Verdana"/>
          <w:bCs/>
          <w:i/>
          <w:sz w:val="20"/>
          <w:szCs w:val="20"/>
        </w:rPr>
        <w:t>associate</w:t>
      </w:r>
      <w:r w:rsidRPr="00F37D3C">
        <w:rPr>
          <w:rFonts w:ascii="Verdana" w:hAnsi="Verdana"/>
          <w:bCs/>
          <w:iCs/>
          <w:sz w:val="20"/>
          <w:szCs w:val="20"/>
        </w:rPr>
        <w:t xml:space="preserve">) </w:t>
      </w:r>
      <w:r w:rsidRPr="00F37D3C">
        <w:rPr>
          <w:rFonts w:ascii="Verdana" w:hAnsi="Verdana"/>
          <w:bCs/>
          <w:sz w:val="20"/>
          <w:szCs w:val="20"/>
        </w:rPr>
        <w:t xml:space="preserve">per gli aspetti contrattuali, societari e immobiliari, da Alessandra </w:t>
      </w:r>
      <w:proofErr w:type="spellStart"/>
      <w:r w:rsidRPr="00F37D3C">
        <w:rPr>
          <w:rFonts w:ascii="Verdana" w:hAnsi="Verdana"/>
          <w:bCs/>
          <w:sz w:val="20"/>
          <w:szCs w:val="20"/>
        </w:rPr>
        <w:t>Zuttioni</w:t>
      </w:r>
      <w:proofErr w:type="spellEnd"/>
      <w:r w:rsidRPr="00F37D3C">
        <w:rPr>
          <w:rFonts w:ascii="Verdana" w:hAnsi="Verdana"/>
          <w:bCs/>
          <w:sz w:val="20"/>
          <w:szCs w:val="20"/>
        </w:rPr>
        <w:t xml:space="preserve"> (</w:t>
      </w:r>
      <w:r w:rsidRPr="00F37D3C">
        <w:rPr>
          <w:rFonts w:ascii="Verdana" w:hAnsi="Verdana"/>
          <w:bCs/>
          <w:i/>
          <w:iCs/>
          <w:sz w:val="20"/>
          <w:szCs w:val="20"/>
        </w:rPr>
        <w:t>partner</w:t>
      </w:r>
      <w:r w:rsidRPr="00F37D3C">
        <w:rPr>
          <w:rFonts w:ascii="Verdana" w:hAnsi="Verdana"/>
          <w:bCs/>
          <w:sz w:val="20"/>
          <w:szCs w:val="20"/>
        </w:rPr>
        <w:t>) e Sergio Monaco (</w:t>
      </w:r>
      <w:r w:rsidRPr="00F37D3C">
        <w:rPr>
          <w:rFonts w:ascii="Verdana" w:hAnsi="Verdana"/>
          <w:bCs/>
          <w:i/>
          <w:iCs/>
          <w:sz w:val="20"/>
          <w:szCs w:val="20"/>
        </w:rPr>
        <w:t>associate</w:t>
      </w:r>
      <w:r w:rsidRPr="00F37D3C">
        <w:rPr>
          <w:rFonts w:ascii="Verdana" w:hAnsi="Verdana"/>
          <w:bCs/>
          <w:sz w:val="20"/>
          <w:szCs w:val="20"/>
        </w:rPr>
        <w:t xml:space="preserve">) </w:t>
      </w:r>
      <w:r w:rsidRPr="00F37D3C">
        <w:rPr>
          <w:rFonts w:ascii="Verdana" w:hAnsi="Verdana"/>
          <w:bCs/>
          <w:iCs/>
          <w:sz w:val="20"/>
          <w:szCs w:val="20"/>
        </w:rPr>
        <w:t>per gli aspetti di diritto amministrativo, edilizia e urbanistica.</w:t>
      </w:r>
    </w:p>
    <w:p w14:paraId="26FF715A" w14:textId="77777777" w:rsidR="00F37D3C" w:rsidRPr="00F37D3C" w:rsidRDefault="00F37D3C" w:rsidP="00F37D3C">
      <w:pPr>
        <w:spacing w:line="240" w:lineRule="atLeast"/>
        <w:ind w:left="284" w:right="709"/>
        <w:jc w:val="both"/>
        <w:rPr>
          <w:rFonts w:ascii="Verdana" w:hAnsi="Verdana"/>
          <w:bCs/>
          <w:iCs/>
          <w:sz w:val="20"/>
          <w:szCs w:val="20"/>
        </w:rPr>
      </w:pPr>
    </w:p>
    <w:p w14:paraId="084CC915" w14:textId="77777777" w:rsidR="00F37D3C" w:rsidRPr="00F37D3C" w:rsidRDefault="00F37D3C" w:rsidP="00F37D3C">
      <w:pPr>
        <w:spacing w:line="240" w:lineRule="atLeast"/>
        <w:ind w:left="284" w:right="709"/>
        <w:jc w:val="both"/>
        <w:rPr>
          <w:rFonts w:ascii="Verdana" w:hAnsi="Verdana"/>
          <w:bCs/>
          <w:sz w:val="20"/>
          <w:szCs w:val="20"/>
        </w:rPr>
      </w:pPr>
      <w:r w:rsidRPr="00F37D3C">
        <w:rPr>
          <w:rFonts w:ascii="Verdana" w:hAnsi="Verdana"/>
          <w:bCs/>
          <w:iCs/>
          <w:sz w:val="20"/>
          <w:szCs w:val="20"/>
        </w:rPr>
        <w:t xml:space="preserve">Gli aspetti notarili dell’operazione sono stati curati dallo Studio Notarile Giacosa e </w:t>
      </w:r>
      <w:proofErr w:type="spellStart"/>
      <w:r w:rsidRPr="00F37D3C">
        <w:rPr>
          <w:rFonts w:ascii="Verdana" w:hAnsi="Verdana"/>
          <w:bCs/>
          <w:iCs/>
          <w:sz w:val="20"/>
          <w:szCs w:val="20"/>
        </w:rPr>
        <w:t>Mazzoletti</w:t>
      </w:r>
      <w:proofErr w:type="spellEnd"/>
      <w:r w:rsidRPr="00F37D3C">
        <w:rPr>
          <w:rFonts w:ascii="Verdana" w:hAnsi="Verdana"/>
          <w:bCs/>
          <w:iCs/>
          <w:sz w:val="20"/>
          <w:szCs w:val="20"/>
        </w:rPr>
        <w:t>.</w:t>
      </w:r>
    </w:p>
    <w:p w14:paraId="1BA8B282" w14:textId="11369B32" w:rsidR="00ED610F" w:rsidRPr="00ED610F" w:rsidRDefault="00ED610F" w:rsidP="00F37D3C">
      <w:pPr>
        <w:spacing w:line="240" w:lineRule="atLeast"/>
        <w:ind w:left="284" w:right="709"/>
        <w:jc w:val="both"/>
        <w:rPr>
          <w:rFonts w:ascii="Verdana" w:hAnsi="Verdana"/>
          <w:bCs/>
          <w:sz w:val="20"/>
          <w:szCs w:val="20"/>
        </w:rPr>
      </w:pPr>
      <w:r w:rsidRPr="00ED610F">
        <w:rPr>
          <w:rFonts w:ascii="Verdana" w:hAnsi="Verdana"/>
          <w:bCs/>
          <w:sz w:val="20"/>
          <w:szCs w:val="20"/>
        </w:rPr>
        <w:t>.</w:t>
      </w:r>
    </w:p>
    <w:p w14:paraId="3BAB74A3" w14:textId="7ADB3495" w:rsidR="00327FF8" w:rsidRPr="007F54F7" w:rsidRDefault="00327FF8" w:rsidP="00ED610F">
      <w:pPr>
        <w:spacing w:line="240" w:lineRule="atLeast"/>
        <w:ind w:left="284" w:right="709"/>
        <w:jc w:val="both"/>
        <w:rPr>
          <w:rFonts w:ascii="Verdana" w:hAnsi="Verdana"/>
          <w:bCs/>
          <w:sz w:val="20"/>
          <w:szCs w:val="20"/>
        </w:rPr>
      </w:pPr>
    </w:p>
    <w:sectPr w:rsidR="00327FF8" w:rsidRPr="007F54F7" w:rsidSect="00327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48C40" w14:textId="77777777" w:rsidR="00EC4988" w:rsidRDefault="00EC4988">
      <w:r>
        <w:separator/>
      </w:r>
    </w:p>
  </w:endnote>
  <w:endnote w:type="continuationSeparator" w:id="0">
    <w:p w14:paraId="54EE1CE6" w14:textId="77777777" w:rsidR="00EC4988" w:rsidRDefault="00EC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2389A" w14:textId="77777777" w:rsidR="00A102AC" w:rsidRDefault="00A102A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C9D47" w14:textId="77777777" w:rsidR="00CF7068" w:rsidRPr="00686486" w:rsidRDefault="00CF7068" w:rsidP="00CF7068">
    <w:pPr>
      <w:spacing w:line="240" w:lineRule="atLeast"/>
      <w:ind w:left="142" w:right="709"/>
      <w:jc w:val="both"/>
      <w:rPr>
        <w:rFonts w:ascii="Candara" w:hAnsi="Candara"/>
      </w:rPr>
    </w:pPr>
  </w:p>
  <w:tbl>
    <w:tblPr>
      <w:tblpPr w:leftFromText="141" w:rightFromText="141" w:vertAnchor="text" w:horzAnchor="margin" w:tblpXSpec="right" w:tblpY="284"/>
      <w:tblW w:w="9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3260"/>
      <w:gridCol w:w="3260"/>
    </w:tblGrid>
    <w:tr w:rsidR="009445BB" w14:paraId="07E21AE4" w14:textId="77777777" w:rsidTr="009E0E7C">
      <w:trPr>
        <w:trHeight w:val="396"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1CA8CDA" w14:textId="77777777" w:rsidR="00CF7068" w:rsidRPr="00210D39" w:rsidRDefault="00355FF6" w:rsidP="00CF7068">
          <w:pPr>
            <w:tabs>
              <w:tab w:val="left" w:pos="5170"/>
            </w:tabs>
            <w:jc w:val="center"/>
            <w:rPr>
              <w:rFonts w:ascii="Calibri Light" w:hAnsi="Calibri Light"/>
              <w:color w:val="000000"/>
              <w:sz w:val="13"/>
              <w:szCs w:val="13"/>
            </w:rPr>
          </w:pPr>
          <w:r w:rsidRPr="00210D39">
            <w:rPr>
              <w:rFonts w:ascii="Calibri Light" w:hAnsi="Calibri Light"/>
              <w:color w:val="000000"/>
              <w:sz w:val="13"/>
              <w:szCs w:val="13"/>
            </w:rPr>
            <w:t xml:space="preserve">20123 </w:t>
          </w:r>
          <w:r w:rsidRPr="00210D39">
            <w:rPr>
              <w:rFonts w:ascii="Calibri Light" w:hAnsi="Calibri Light"/>
              <w:b/>
              <w:color w:val="FF0000"/>
              <w:sz w:val="13"/>
              <w:szCs w:val="13"/>
            </w:rPr>
            <w:t>Milano</w:t>
          </w:r>
          <w:r w:rsidRPr="00210D39">
            <w:rPr>
              <w:rFonts w:ascii="Calibri Light" w:hAnsi="Calibri Light"/>
              <w:color w:val="000000"/>
              <w:sz w:val="13"/>
              <w:szCs w:val="13"/>
            </w:rPr>
            <w:t xml:space="preserve"> IT – Via Dante, 9</w:t>
          </w:r>
        </w:p>
        <w:p w14:paraId="428A5BCA" w14:textId="77777777" w:rsidR="00CF7068" w:rsidRPr="00210D39" w:rsidRDefault="00355FF6" w:rsidP="00CF7068">
          <w:pPr>
            <w:tabs>
              <w:tab w:val="left" w:pos="5170"/>
            </w:tabs>
            <w:jc w:val="center"/>
            <w:rPr>
              <w:rFonts w:ascii="Georgia" w:hAnsi="Georgia"/>
              <w:color w:val="1F3864"/>
              <w:sz w:val="13"/>
              <w:szCs w:val="13"/>
            </w:rPr>
          </w:pPr>
          <w:r w:rsidRPr="00210D39">
            <w:rPr>
              <w:rFonts w:ascii="Calibri Light" w:hAnsi="Calibri Light"/>
              <w:color w:val="000000"/>
              <w:sz w:val="13"/>
              <w:szCs w:val="13"/>
            </w:rPr>
            <w:t xml:space="preserve">Tel. </w:t>
          </w:r>
          <w:r>
            <w:rPr>
              <w:rFonts w:ascii="Calibri Light" w:hAnsi="Calibri Light"/>
              <w:color w:val="000000"/>
              <w:sz w:val="13"/>
              <w:szCs w:val="13"/>
            </w:rPr>
            <w:t xml:space="preserve">+39 </w:t>
          </w:r>
          <w:r w:rsidRPr="00210D39">
            <w:rPr>
              <w:rFonts w:ascii="Calibri Light" w:hAnsi="Calibri Light"/>
              <w:color w:val="000000"/>
              <w:sz w:val="13"/>
              <w:szCs w:val="13"/>
            </w:rPr>
            <w:t xml:space="preserve">02 7217091 – Fax </w:t>
          </w:r>
          <w:r>
            <w:rPr>
              <w:rFonts w:ascii="Calibri Light" w:hAnsi="Calibri Light"/>
              <w:color w:val="000000"/>
              <w:sz w:val="13"/>
              <w:szCs w:val="13"/>
            </w:rPr>
            <w:t xml:space="preserve">+39 </w:t>
          </w:r>
          <w:r w:rsidRPr="00210D39">
            <w:rPr>
              <w:rFonts w:ascii="Calibri Light" w:hAnsi="Calibri Light"/>
              <w:color w:val="000000"/>
              <w:sz w:val="13"/>
              <w:szCs w:val="13"/>
            </w:rPr>
            <w:t>02 72170950</w:t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</w:tcPr>
        <w:p w14:paraId="50F030FE" w14:textId="77777777" w:rsidR="00CF7068" w:rsidRDefault="00355FF6" w:rsidP="00CF7068">
          <w:pPr>
            <w:tabs>
              <w:tab w:val="left" w:pos="5170"/>
            </w:tabs>
            <w:jc w:val="center"/>
            <w:rPr>
              <w:rFonts w:ascii="Calibri Light" w:hAnsi="Calibri Light"/>
              <w:sz w:val="13"/>
              <w:szCs w:val="13"/>
            </w:rPr>
          </w:pPr>
          <w:r>
            <w:rPr>
              <w:rFonts w:ascii="Calibri Light" w:hAnsi="Calibri Light"/>
              <w:sz w:val="13"/>
              <w:szCs w:val="13"/>
            </w:rPr>
            <w:t>00186 Roma IT – Piazza dei Caprettari, 70</w:t>
          </w:r>
        </w:p>
        <w:p w14:paraId="29946D98" w14:textId="77777777" w:rsidR="00CF7068" w:rsidRDefault="00355FF6" w:rsidP="00CF7068">
          <w:pPr>
            <w:tabs>
              <w:tab w:val="left" w:pos="5170"/>
            </w:tabs>
            <w:jc w:val="center"/>
            <w:rPr>
              <w:rFonts w:ascii="Calibri Light" w:hAnsi="Calibri Light"/>
              <w:sz w:val="13"/>
              <w:szCs w:val="13"/>
            </w:rPr>
          </w:pPr>
          <w:r w:rsidRPr="00210D39">
            <w:rPr>
              <w:rFonts w:ascii="Calibri Light" w:hAnsi="Calibri Light"/>
              <w:color w:val="000000"/>
              <w:sz w:val="13"/>
              <w:szCs w:val="13"/>
            </w:rPr>
            <w:t xml:space="preserve">Tel. </w:t>
          </w:r>
          <w:r>
            <w:rPr>
              <w:rFonts w:ascii="Calibri Light" w:hAnsi="Calibri Light"/>
              <w:color w:val="000000"/>
              <w:sz w:val="13"/>
              <w:szCs w:val="13"/>
            </w:rPr>
            <w:t xml:space="preserve">+39 </w:t>
          </w:r>
          <w:r w:rsidRPr="00EB3946">
            <w:rPr>
              <w:rFonts w:ascii="Calibri Light" w:hAnsi="Calibri Light"/>
              <w:color w:val="000000"/>
              <w:sz w:val="13"/>
              <w:szCs w:val="13"/>
            </w:rPr>
            <w:t xml:space="preserve">06 96700007 </w:t>
          </w:r>
          <w:r w:rsidRPr="00210D39">
            <w:rPr>
              <w:rFonts w:ascii="Calibri Light" w:hAnsi="Calibri Light"/>
              <w:color w:val="000000"/>
              <w:sz w:val="13"/>
              <w:szCs w:val="13"/>
            </w:rPr>
            <w:t xml:space="preserve">– Fax </w:t>
          </w:r>
          <w:r>
            <w:rPr>
              <w:rFonts w:ascii="Calibri Light" w:hAnsi="Calibri Light"/>
              <w:color w:val="000000"/>
              <w:sz w:val="13"/>
              <w:szCs w:val="13"/>
            </w:rPr>
            <w:t xml:space="preserve">+39 </w:t>
          </w:r>
          <w:r w:rsidRPr="00210D39">
            <w:rPr>
              <w:rFonts w:ascii="Calibri Light" w:hAnsi="Calibri Light"/>
              <w:color w:val="000000"/>
              <w:sz w:val="13"/>
              <w:szCs w:val="13"/>
            </w:rPr>
            <w:t>02 72170950</w:t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E3D3A95" w14:textId="77777777" w:rsidR="00CF7068" w:rsidRPr="00210D39" w:rsidRDefault="007879D6" w:rsidP="00CF7068">
          <w:pPr>
            <w:tabs>
              <w:tab w:val="left" w:pos="5170"/>
            </w:tabs>
            <w:jc w:val="center"/>
            <w:rPr>
              <w:rFonts w:ascii="Calibri Light" w:hAnsi="Calibri Light"/>
              <w:sz w:val="13"/>
              <w:szCs w:val="13"/>
            </w:rPr>
          </w:pPr>
          <w:hyperlink r:id="rId1" w:history="1">
            <w:r w:rsidR="00355FF6" w:rsidRPr="00210D39">
              <w:rPr>
                <w:rFonts w:ascii="Calibri Light" w:hAnsi="Calibri Light"/>
                <w:sz w:val="13"/>
                <w:szCs w:val="13"/>
              </w:rPr>
              <w:t>25121</w:t>
            </w:r>
          </w:hyperlink>
          <w:r w:rsidR="00355FF6" w:rsidRPr="00210D39">
            <w:rPr>
              <w:rFonts w:ascii="Calibri Light" w:hAnsi="Calibri Light"/>
              <w:sz w:val="13"/>
              <w:szCs w:val="13"/>
            </w:rPr>
            <w:t xml:space="preserve"> Brescia IT – Piazza della Loggia, 5</w:t>
          </w:r>
        </w:p>
        <w:p w14:paraId="4DFD4237" w14:textId="77777777" w:rsidR="00CF7068" w:rsidRPr="00210D39" w:rsidRDefault="00355FF6" w:rsidP="00CF7068">
          <w:pPr>
            <w:tabs>
              <w:tab w:val="left" w:pos="5170"/>
            </w:tabs>
            <w:jc w:val="center"/>
            <w:rPr>
              <w:rFonts w:ascii="Georgia" w:hAnsi="Georgia"/>
              <w:color w:val="1F3864"/>
              <w:sz w:val="13"/>
              <w:szCs w:val="13"/>
            </w:rPr>
          </w:pPr>
          <w:r w:rsidRPr="00210D39">
            <w:rPr>
              <w:rFonts w:ascii="Calibri Light" w:hAnsi="Calibri Light"/>
              <w:sz w:val="13"/>
              <w:szCs w:val="13"/>
            </w:rPr>
            <w:t xml:space="preserve">Tel. </w:t>
          </w:r>
          <w:r>
            <w:rPr>
              <w:rFonts w:ascii="Calibri Light" w:hAnsi="Calibri Light"/>
              <w:sz w:val="13"/>
              <w:szCs w:val="13"/>
            </w:rPr>
            <w:t xml:space="preserve">+39 </w:t>
          </w:r>
          <w:r w:rsidRPr="00210D39">
            <w:rPr>
              <w:rFonts w:ascii="Calibri Light" w:hAnsi="Calibri Light"/>
              <w:sz w:val="13"/>
              <w:szCs w:val="13"/>
            </w:rPr>
            <w:t xml:space="preserve">030 </w:t>
          </w:r>
          <w:r>
            <w:rPr>
              <w:rFonts w:ascii="Calibri Light" w:hAnsi="Calibri Light"/>
              <w:sz w:val="13"/>
              <w:szCs w:val="13"/>
            </w:rPr>
            <w:t xml:space="preserve">6062535 </w:t>
          </w:r>
          <w:r w:rsidRPr="00210D39">
            <w:rPr>
              <w:rFonts w:ascii="Calibri Light" w:hAnsi="Calibri Light"/>
              <w:sz w:val="13"/>
              <w:szCs w:val="13"/>
            </w:rPr>
            <w:t xml:space="preserve">– Fax </w:t>
          </w:r>
          <w:r>
            <w:rPr>
              <w:rFonts w:ascii="Calibri Light" w:hAnsi="Calibri Light"/>
              <w:sz w:val="13"/>
              <w:szCs w:val="13"/>
            </w:rPr>
            <w:t>+39 02 72170950</w:t>
          </w:r>
        </w:p>
      </w:tc>
    </w:tr>
  </w:tbl>
  <w:p w14:paraId="082E4751" w14:textId="77777777" w:rsidR="00DF5C2D" w:rsidRDefault="00355FF6">
    <w:pPr>
      <w:pStyle w:val="Pidipagina"/>
    </w:pPr>
    <w:r>
      <w:rPr>
        <w:rFonts w:ascii="Candara" w:hAnsi="Candara"/>
        <w:noProof/>
        <w:lang w:eastAsia="it-IT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6450C1DD" wp14:editId="092A3905">
              <wp:simplePos x="0" y="0"/>
              <wp:positionH relativeFrom="column">
                <wp:posOffset>390525</wp:posOffset>
              </wp:positionH>
              <wp:positionV relativeFrom="paragraph">
                <wp:posOffset>18415</wp:posOffset>
              </wp:positionV>
              <wp:extent cx="5308600" cy="22225"/>
              <wp:effectExtent l="0" t="0" r="6350" b="0"/>
              <wp:wrapNone/>
              <wp:docPr id="2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5308600" cy="22225"/>
                      </a:xfrm>
                      <a:prstGeom prst="rect">
                        <a:avLst/>
                      </a:prstGeom>
                      <a:solidFill>
                        <a:srgbClr val="E6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ttangolo 2" o:spid="_x0000_s2049" style="width:418pt;height:1.75pt;margin-top:1.45pt;margin-left:30.75pt;mso-height-percent:0;mso-height-relative:page;mso-width-percent:0;mso-width-relative:page;mso-wrap-distance-bottom:2.88pt;mso-wrap-distance-left:2.88pt;mso-wrap-distance-right:2.88pt;mso-wrap-distance-top:2.88pt;mso-wrap-style:square;position:absolute;visibility:visible;v-text-anchor:top;z-index:251659264" fillcolor="#e60000" stroked="f" insetpen="t">
              <v:shadow color="#ccc"/>
              <o:lock v:ext="edit" shapetype="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12BF8" w14:textId="77777777" w:rsidR="00A102AC" w:rsidRDefault="00A102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A997C" w14:textId="77777777" w:rsidR="00EC4988" w:rsidRDefault="00EC4988">
      <w:r>
        <w:separator/>
      </w:r>
    </w:p>
  </w:footnote>
  <w:footnote w:type="continuationSeparator" w:id="0">
    <w:p w14:paraId="6786686C" w14:textId="77777777" w:rsidR="00EC4988" w:rsidRDefault="00EC4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4A87B" w14:textId="77777777" w:rsidR="00A102AC" w:rsidRDefault="00A102A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08B81" w14:textId="77777777" w:rsidR="000C5D2D" w:rsidRDefault="00355FF6" w:rsidP="000C5D2D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4CCC9E67" wp14:editId="60E5A0A5">
          <wp:extent cx="1087200" cy="1080000"/>
          <wp:effectExtent l="0" t="0" r="0" b="6350"/>
          <wp:docPr id="1" name="Immagine 1" descr="\\MLSIDOC01\UserSettings\veniglir\Desktop\log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3916459" name="Picture 1" descr="\\MLSIDOC01\UserSettings\veniglir\Desktop\logo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A4B319" w14:textId="77777777" w:rsidR="008930D0" w:rsidRDefault="008930D0" w:rsidP="000C5D2D">
    <w:pPr>
      <w:pStyle w:val="Intestazione"/>
      <w:jc w:val="right"/>
    </w:pPr>
  </w:p>
  <w:p w14:paraId="2D779AD4" w14:textId="77777777" w:rsidR="008930D0" w:rsidRDefault="008930D0" w:rsidP="000C5D2D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B8D3D" w14:textId="77777777" w:rsidR="00A102AC" w:rsidRDefault="00A102A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BE"/>
    <w:rsid w:val="000170D7"/>
    <w:rsid w:val="000205AA"/>
    <w:rsid w:val="00020D9A"/>
    <w:rsid w:val="00035465"/>
    <w:rsid w:val="00043C05"/>
    <w:rsid w:val="000600E9"/>
    <w:rsid w:val="0006190B"/>
    <w:rsid w:val="000B48E1"/>
    <w:rsid w:val="000C5D2D"/>
    <w:rsid w:val="000E1C60"/>
    <w:rsid w:val="000F48A5"/>
    <w:rsid w:val="001769E5"/>
    <w:rsid w:val="001C2A9F"/>
    <w:rsid w:val="001D0D04"/>
    <w:rsid w:val="001D21B3"/>
    <w:rsid w:val="001D4E58"/>
    <w:rsid w:val="001D5823"/>
    <w:rsid w:val="001D585C"/>
    <w:rsid w:val="001D7513"/>
    <w:rsid w:val="00210D39"/>
    <w:rsid w:val="002212D4"/>
    <w:rsid w:val="00240379"/>
    <w:rsid w:val="002564FB"/>
    <w:rsid w:val="00276178"/>
    <w:rsid w:val="002D222E"/>
    <w:rsid w:val="002E2BF3"/>
    <w:rsid w:val="0030091E"/>
    <w:rsid w:val="003152AC"/>
    <w:rsid w:val="00327FF8"/>
    <w:rsid w:val="00350927"/>
    <w:rsid w:val="00355FF6"/>
    <w:rsid w:val="003672B6"/>
    <w:rsid w:val="00371BFE"/>
    <w:rsid w:val="00384518"/>
    <w:rsid w:val="003A009E"/>
    <w:rsid w:val="003E162A"/>
    <w:rsid w:val="003E77E0"/>
    <w:rsid w:val="00461A9E"/>
    <w:rsid w:val="004A3AF7"/>
    <w:rsid w:val="004D1A06"/>
    <w:rsid w:val="004E66BE"/>
    <w:rsid w:val="00516D22"/>
    <w:rsid w:val="0054298E"/>
    <w:rsid w:val="00560A36"/>
    <w:rsid w:val="00595A67"/>
    <w:rsid w:val="005A3C13"/>
    <w:rsid w:val="005E0379"/>
    <w:rsid w:val="006766F0"/>
    <w:rsid w:val="00683E36"/>
    <w:rsid w:val="00686486"/>
    <w:rsid w:val="006B55E8"/>
    <w:rsid w:val="00705357"/>
    <w:rsid w:val="0071707F"/>
    <w:rsid w:val="0073223A"/>
    <w:rsid w:val="007617A3"/>
    <w:rsid w:val="007879D6"/>
    <w:rsid w:val="007F54F7"/>
    <w:rsid w:val="008217EB"/>
    <w:rsid w:val="00877C93"/>
    <w:rsid w:val="00880BE1"/>
    <w:rsid w:val="0088683B"/>
    <w:rsid w:val="008930D0"/>
    <w:rsid w:val="008D0FB9"/>
    <w:rsid w:val="008D0FBE"/>
    <w:rsid w:val="00924855"/>
    <w:rsid w:val="009445BB"/>
    <w:rsid w:val="009E6DFA"/>
    <w:rsid w:val="00A0059A"/>
    <w:rsid w:val="00A0270D"/>
    <w:rsid w:val="00A03457"/>
    <w:rsid w:val="00A102AC"/>
    <w:rsid w:val="00A21286"/>
    <w:rsid w:val="00A274D2"/>
    <w:rsid w:val="00A307FF"/>
    <w:rsid w:val="00A575B7"/>
    <w:rsid w:val="00AD1DE3"/>
    <w:rsid w:val="00AF1F5E"/>
    <w:rsid w:val="00B104EF"/>
    <w:rsid w:val="00B13BA3"/>
    <w:rsid w:val="00B6148E"/>
    <w:rsid w:val="00B701EE"/>
    <w:rsid w:val="00B76730"/>
    <w:rsid w:val="00BE26BF"/>
    <w:rsid w:val="00C44148"/>
    <w:rsid w:val="00C45097"/>
    <w:rsid w:val="00C90210"/>
    <w:rsid w:val="00CA76AA"/>
    <w:rsid w:val="00CF7068"/>
    <w:rsid w:val="00D00415"/>
    <w:rsid w:val="00DF5C2D"/>
    <w:rsid w:val="00E07657"/>
    <w:rsid w:val="00E23DE9"/>
    <w:rsid w:val="00E730A6"/>
    <w:rsid w:val="00E91B44"/>
    <w:rsid w:val="00EA42EF"/>
    <w:rsid w:val="00EB3946"/>
    <w:rsid w:val="00EC26C1"/>
    <w:rsid w:val="00EC4988"/>
    <w:rsid w:val="00ED2988"/>
    <w:rsid w:val="00ED610F"/>
    <w:rsid w:val="00EE3C70"/>
    <w:rsid w:val="00F0732F"/>
    <w:rsid w:val="00F37D3C"/>
    <w:rsid w:val="00F87710"/>
    <w:rsid w:val="00F9107B"/>
    <w:rsid w:val="00FB73A6"/>
    <w:rsid w:val="00FC4887"/>
    <w:rsid w:val="00FD2869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17E4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7FF8"/>
    <w:pPr>
      <w:spacing w:after="0" w:line="240" w:lineRule="auto"/>
    </w:pPr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732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73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0C5D2D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D2D"/>
  </w:style>
  <w:style w:type="paragraph" w:styleId="Pidipagina">
    <w:name w:val="footer"/>
    <w:basedOn w:val="Normale"/>
    <w:link w:val="PidipaginaCarattere"/>
    <w:uiPriority w:val="99"/>
    <w:unhideWhenUsed/>
    <w:rsid w:val="000C5D2D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D2D"/>
  </w:style>
  <w:style w:type="paragraph" w:styleId="Revisione">
    <w:name w:val="Revision"/>
    <w:hidden/>
    <w:uiPriority w:val="99"/>
    <w:semiHidden/>
    <w:rsid w:val="00A0270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4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nsolocap.it/cap/25121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2022-07-25T09:28:00Z</dcterms:created>
  <dcterms:modified xsi:type="dcterms:W3CDTF">2022-07-25T09:32:00Z</dcterms:modified>
</cp:coreProperties>
</file>