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7C65" w14:textId="0879F899" w:rsidR="003E35CA" w:rsidRPr="002A740E" w:rsidRDefault="002A740E">
      <w:pPr>
        <w:rPr>
          <w:b/>
        </w:rPr>
      </w:pPr>
      <w:r w:rsidRPr="002A740E">
        <w:rPr>
          <w:b/>
        </w:rPr>
        <w:t xml:space="preserve">PRINCIPALI DATI DEL </w:t>
      </w:r>
      <w:r w:rsidR="004A0C9A">
        <w:rPr>
          <w:b/>
        </w:rPr>
        <w:t>7</w:t>
      </w:r>
      <w:r w:rsidRPr="002A740E">
        <w:rPr>
          <w:b/>
        </w:rPr>
        <w:t>° REPORT ITALIANO SUL CROWDINVESTING</w:t>
      </w:r>
      <w:r w:rsidR="004A0C9A">
        <w:rPr>
          <w:b/>
        </w:rPr>
        <w:t xml:space="preserve"> [LUGLIO 2022]</w:t>
      </w:r>
    </w:p>
    <w:p w14:paraId="4F77E5FD" w14:textId="77777777" w:rsidR="002A740E" w:rsidRDefault="002A740E">
      <w:r>
        <w:t>Politecnico di Milano, School of Management</w:t>
      </w:r>
    </w:p>
    <w:p w14:paraId="45BEF6B3" w14:textId="77777777" w:rsidR="002A740E" w:rsidRDefault="002A740E"/>
    <w:p w14:paraId="4A0AF80F" w14:textId="7EDEADCE" w:rsidR="002A740E" w:rsidRDefault="002A740E">
      <w:r>
        <w:t>La ricerca considera i portali online che permettono di investire in imprese (equity e minibond) o di prestare denaro a persone fisiche o imprese (lending). I dati sono aggiornati al 30/6/202</w:t>
      </w:r>
      <w:r w:rsidR="004A0C9A">
        <w:t>2</w:t>
      </w:r>
      <w:r>
        <w:t>.</w:t>
      </w:r>
    </w:p>
    <w:p w14:paraId="21DB38C9" w14:textId="2F34D5D1" w:rsidR="002A740E" w:rsidRPr="00BD1B36" w:rsidRDefault="002A740E">
      <w:r>
        <w:t xml:space="preserve">Totale portali censiti dalla ricerca: </w:t>
      </w:r>
      <w:r w:rsidRPr="00215865">
        <w:rPr>
          <w:i/>
          <w:iCs/>
        </w:rPr>
        <w:t>51 autorizzati Consob equity</w:t>
      </w:r>
      <w:r w:rsidR="004A0C9A">
        <w:t xml:space="preserve"> (di cui </w:t>
      </w:r>
      <w:r w:rsidR="00BD1B36">
        <w:t xml:space="preserve">8 autorizzati </w:t>
      </w:r>
      <w:r w:rsidR="00215865">
        <w:t xml:space="preserve">anche </w:t>
      </w:r>
      <w:r w:rsidR="00BD1B36">
        <w:t xml:space="preserve">per i </w:t>
      </w:r>
      <w:proofErr w:type="spellStart"/>
      <w:r>
        <w:t>minibond</w:t>
      </w:r>
      <w:proofErr w:type="spellEnd"/>
      <w:r w:rsidR="00BD1B36">
        <w:t>)</w:t>
      </w:r>
      <w:r>
        <w:t xml:space="preserve"> </w:t>
      </w:r>
      <w:r w:rsidR="004A0C9A">
        <w:t xml:space="preserve">+ </w:t>
      </w:r>
      <w:r w:rsidR="00BD1B36" w:rsidRPr="00215865">
        <w:rPr>
          <w:i/>
          <w:iCs/>
        </w:rPr>
        <w:t>39 portali lending</w:t>
      </w:r>
      <w:r w:rsidR="00BD1B36">
        <w:t xml:space="preserve"> (7 consumer + 12 business non-immobiliari + 20 business immobiliari)</w:t>
      </w:r>
      <w:r w:rsidR="00BD1B36">
        <w:br/>
      </w:r>
      <w:r w:rsidR="00BD1B36" w:rsidRPr="00BD1B36">
        <w:rPr>
          <w:b/>
          <w:bCs/>
        </w:rPr>
        <w:t>TOT</w:t>
      </w:r>
      <w:r w:rsidR="00BD1B36">
        <w:rPr>
          <w:b/>
          <w:bCs/>
        </w:rPr>
        <w:t xml:space="preserve"> </w:t>
      </w:r>
      <w:r w:rsidR="00BD1B36" w:rsidRPr="00BD1B36">
        <w:rPr>
          <w:b/>
          <w:bCs/>
        </w:rPr>
        <w:sym w:font="Wingdings" w:char="F0E0"/>
      </w:r>
      <w:r w:rsidR="00BD1B36">
        <w:rPr>
          <w:b/>
          <w:bCs/>
        </w:rPr>
        <w:t xml:space="preserve"> </w:t>
      </w:r>
      <w:r w:rsidR="00BD1B36" w:rsidRPr="00BD1B36">
        <w:rPr>
          <w:b/>
          <w:bCs/>
        </w:rPr>
        <w:t>90 portali</w:t>
      </w:r>
    </w:p>
    <w:p w14:paraId="721E289F" w14:textId="54D99F1F" w:rsidR="002A740E" w:rsidRDefault="002A740E" w:rsidP="005D5D81">
      <w:pPr>
        <w:spacing w:after="0"/>
      </w:pPr>
      <w:r>
        <w:t>Prospetto riassuntivo dei dati:</w:t>
      </w:r>
      <w:r w:rsidR="00EE3CFA">
        <w:br/>
        <w:t>(in parentesi l’incremento rispetto all’anno precedente)</w:t>
      </w:r>
    </w:p>
    <w:p w14:paraId="0A093F0C" w14:textId="77777777" w:rsidR="002A740E" w:rsidRDefault="002A740E" w:rsidP="002A740E">
      <w:pPr>
        <w:pStyle w:val="Titolo2ParagrafoTitoli"/>
        <w:jc w:val="both"/>
        <w:rPr>
          <w:rFonts w:ascii="Minion Pro" w:hAnsi="Minion Pro" w:cs="Minion Pro"/>
          <w:b w:val="0"/>
          <w:bCs w:val="0"/>
          <w:color w:val="000000"/>
          <w:sz w:val="22"/>
          <w:szCs w:val="22"/>
        </w:rPr>
      </w:pPr>
    </w:p>
    <w:p w14:paraId="0483A8BC" w14:textId="76E23702" w:rsidR="002A740E" w:rsidRDefault="00282EFC" w:rsidP="002A740E">
      <w:pPr>
        <w:pStyle w:val="Testonormale"/>
      </w:pPr>
      <w:r>
        <w:rPr>
          <w:noProof/>
        </w:rPr>
        <w:drawing>
          <wp:inline distT="0" distB="0" distL="0" distR="0" wp14:anchorId="2684B0B7" wp14:editId="5B4EBE2A">
            <wp:extent cx="6115050" cy="25622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E00E" w14:textId="7932A82D" w:rsidR="002A740E" w:rsidRPr="004A33D8" w:rsidRDefault="004A33D8" w:rsidP="004A33D8">
      <w:pPr>
        <w:pStyle w:val="Titolo2ParagrafoTitoli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4A33D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(*) Sono escluse le</w:t>
      </w:r>
      <w:r w:rsidRPr="004A33D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4A33D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campagne di offerta di</w:t>
      </w:r>
      <w:r w:rsidRPr="004A33D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Pr="004A33D8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quote di OICR</w:t>
      </w:r>
    </w:p>
    <w:p w14:paraId="462C3350" w14:textId="77777777" w:rsidR="004A33D8" w:rsidRDefault="004A33D8" w:rsidP="002A740E">
      <w:pPr>
        <w:pStyle w:val="Titolo2ParagrafoTitoli"/>
      </w:pPr>
    </w:p>
    <w:p w14:paraId="1F5C55ED" w14:textId="3B9A0B87" w:rsidR="002A740E" w:rsidRPr="00C6137F" w:rsidRDefault="002A740E" w:rsidP="002A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6137F">
        <w:rPr>
          <w:color w:val="FF0000"/>
        </w:rPr>
        <w:t xml:space="preserve">PORTALI </w:t>
      </w:r>
      <w:r w:rsidR="00C6137F">
        <w:rPr>
          <w:color w:val="FF0000"/>
        </w:rPr>
        <w:t xml:space="preserve">RACCOLTA ONLINE </w:t>
      </w:r>
      <w:r w:rsidRPr="00C6137F">
        <w:rPr>
          <w:color w:val="FF0000"/>
        </w:rPr>
        <w:t>AUTORIZZATI DA CONSOB:</w:t>
      </w:r>
      <w:r w:rsidR="00282EFC">
        <w:rPr>
          <w:color w:val="FF0000"/>
        </w:rPr>
        <w:t xml:space="preserve"> </w:t>
      </w:r>
      <w:r w:rsidRPr="00282EFC">
        <w:rPr>
          <w:b/>
          <w:bCs/>
          <w:color w:val="FF0000"/>
        </w:rPr>
        <w:t>51</w:t>
      </w:r>
      <w:r w:rsidRPr="00C6137F">
        <w:rPr>
          <w:color w:val="FF0000"/>
        </w:rPr>
        <w:t xml:space="preserve"> </w:t>
      </w:r>
      <w:r w:rsidR="00282EFC" w:rsidRPr="00282EFC">
        <w:rPr>
          <w:i/>
          <w:iCs/>
          <w:color w:val="FF0000"/>
        </w:rPr>
        <w:t>(stesso numero dell’anno scorso, ma con 8 rinunce e 8 nuove autorizzazioni</w:t>
      </w:r>
      <w:r w:rsidR="00282EFC">
        <w:rPr>
          <w:i/>
          <w:iCs/>
          <w:color w:val="FF0000"/>
        </w:rPr>
        <w:t xml:space="preserve"> negli ultimi 12 mesi</w:t>
      </w:r>
      <w:r w:rsidR="00282EFC" w:rsidRPr="00282EFC">
        <w:rPr>
          <w:i/>
          <w:iCs/>
          <w:color w:val="FF0000"/>
        </w:rPr>
        <w:t>)</w:t>
      </w:r>
    </w:p>
    <w:p w14:paraId="34591A99" w14:textId="77777777" w:rsidR="002A740E" w:rsidRPr="005D5D81" w:rsidRDefault="002A740E">
      <w:pPr>
        <w:rPr>
          <w:sz w:val="8"/>
          <w:szCs w:val="8"/>
        </w:rPr>
      </w:pPr>
    </w:p>
    <w:p w14:paraId="595E2D95" w14:textId="77777777" w:rsidR="002A740E" w:rsidRDefault="002A740E" w:rsidP="002A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Raccolta con emissione di minibond:</w:t>
      </w:r>
    </w:p>
    <w:p w14:paraId="0D078A58" w14:textId="77777777" w:rsidR="002A740E" w:rsidRDefault="002A740E">
      <w:r>
        <w:rPr>
          <w:noProof/>
        </w:rPr>
        <w:drawing>
          <wp:inline distT="0" distB="0" distL="0" distR="0" wp14:anchorId="5D02CAD1" wp14:editId="1239E2D0">
            <wp:extent cx="4455023" cy="2851622"/>
            <wp:effectExtent l="0" t="0" r="317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" r="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23" cy="28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303F1" w14:textId="77777777" w:rsidR="002A740E" w:rsidRDefault="002A740E" w:rsidP="002A7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Raccolta con emissione di quote del capitale di rischio:</w:t>
      </w:r>
    </w:p>
    <w:p w14:paraId="0CCB3AAD" w14:textId="77777777" w:rsidR="002A740E" w:rsidRDefault="002A740E" w:rsidP="002A740E">
      <w:pPr>
        <w:pStyle w:val="Paragrafoelenco"/>
        <w:numPr>
          <w:ilvl w:val="0"/>
          <w:numId w:val="1"/>
        </w:numPr>
      </w:pPr>
      <w:r>
        <w:t>Numero campagne</w:t>
      </w:r>
      <w:r w:rsidR="00C6137F">
        <w:t xml:space="preserve"> equity</w:t>
      </w:r>
      <w:r>
        <w:t xml:space="preserve"> chiuso anno per anno</w:t>
      </w:r>
    </w:p>
    <w:p w14:paraId="6B96B7B7" w14:textId="77777777" w:rsidR="002A740E" w:rsidRDefault="002A740E">
      <w:r>
        <w:rPr>
          <w:noProof/>
        </w:rPr>
        <w:drawing>
          <wp:inline distT="0" distB="0" distL="0" distR="0" wp14:anchorId="58C45D84" wp14:editId="18DE102E">
            <wp:extent cx="5541253" cy="3402859"/>
            <wp:effectExtent l="0" t="0" r="254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53" cy="340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2E284" w14:textId="77777777" w:rsidR="002A740E" w:rsidRDefault="002A740E" w:rsidP="002A740E">
      <w:pPr>
        <w:pStyle w:val="Paragrafoelenco"/>
        <w:numPr>
          <w:ilvl w:val="0"/>
          <w:numId w:val="1"/>
        </w:numPr>
      </w:pPr>
      <w:r>
        <w:t xml:space="preserve">Numero campagne </w:t>
      </w:r>
      <w:r w:rsidR="00C6137F">
        <w:t xml:space="preserve">equity </w:t>
      </w:r>
      <w:r>
        <w:t>presentate dai portali</w:t>
      </w:r>
    </w:p>
    <w:p w14:paraId="3F889F52" w14:textId="77777777" w:rsidR="002A740E" w:rsidRDefault="002A740E" w:rsidP="002A740E">
      <w:pPr>
        <w:pStyle w:val="Paragrafoelenco"/>
      </w:pPr>
    </w:p>
    <w:p w14:paraId="7754DD8F" w14:textId="77777777" w:rsidR="00C6137F" w:rsidRDefault="00C6137F" w:rsidP="00C6137F">
      <w:pPr>
        <w:pStyle w:val="Paragrafoelenco"/>
        <w:ind w:left="0"/>
      </w:pPr>
      <w:r>
        <w:rPr>
          <w:noProof/>
        </w:rPr>
        <w:drawing>
          <wp:inline distT="0" distB="0" distL="0" distR="0" wp14:anchorId="5C9395FA" wp14:editId="69466FC8">
            <wp:extent cx="6003161" cy="391014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61" cy="3910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4AFD0" w14:textId="77777777" w:rsidR="00C6137F" w:rsidRDefault="00C6137F" w:rsidP="00C6137F">
      <w:pPr>
        <w:pStyle w:val="Paragrafoelenco"/>
        <w:ind w:left="0"/>
      </w:pPr>
    </w:p>
    <w:p w14:paraId="4D997197" w14:textId="77777777" w:rsidR="00C6137F" w:rsidRDefault="00C6137F" w:rsidP="00C6137F">
      <w:pPr>
        <w:pStyle w:val="Paragrafoelenco"/>
        <w:ind w:left="0"/>
      </w:pPr>
    </w:p>
    <w:p w14:paraId="12A77C15" w14:textId="77777777" w:rsidR="00C6137F" w:rsidRDefault="00C6137F" w:rsidP="00C6137F">
      <w:pPr>
        <w:pStyle w:val="Paragrafoelenco"/>
        <w:ind w:left="0"/>
      </w:pPr>
    </w:p>
    <w:p w14:paraId="3E4FFD62" w14:textId="77777777" w:rsidR="00C6137F" w:rsidRDefault="00C6137F" w:rsidP="00C6137F">
      <w:pPr>
        <w:pStyle w:val="Paragrafoelenco"/>
        <w:ind w:left="0"/>
      </w:pPr>
    </w:p>
    <w:p w14:paraId="1DB86495" w14:textId="4FD7D6C3" w:rsidR="00C6137F" w:rsidRDefault="00C6137F" w:rsidP="00C6137F">
      <w:pPr>
        <w:pStyle w:val="Paragrafoelenco"/>
        <w:numPr>
          <w:ilvl w:val="0"/>
          <w:numId w:val="1"/>
        </w:numPr>
      </w:pPr>
      <w:r>
        <w:t>Raccolta campagne equity (è escluso il collocamento di quote di OICR, sono considerate solo le campagne ufficialmente chiuse al 30/6/202</w:t>
      </w:r>
      <w:r w:rsidR="00282EFC">
        <w:t>2</w:t>
      </w:r>
      <w:r>
        <w:t>)</w:t>
      </w:r>
    </w:p>
    <w:p w14:paraId="45F762A6" w14:textId="77777777" w:rsidR="00C6137F" w:rsidRDefault="00C6137F" w:rsidP="00C6137F">
      <w:r>
        <w:rPr>
          <w:noProof/>
        </w:rPr>
        <w:lastRenderedPageBreak/>
        <w:drawing>
          <wp:inline distT="0" distB="0" distL="0" distR="0" wp14:anchorId="4505D6C1" wp14:editId="39DF445D">
            <wp:extent cx="5965878" cy="3192602"/>
            <wp:effectExtent l="0" t="0" r="0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78" cy="3192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904ED3" w14:textId="77777777" w:rsidR="00C6137F" w:rsidRDefault="00C6137F" w:rsidP="00C6137F">
      <w:pPr>
        <w:pStyle w:val="Paragrafoelenco"/>
        <w:numPr>
          <w:ilvl w:val="0"/>
          <w:numId w:val="1"/>
        </w:numPr>
      </w:pPr>
      <w:r>
        <w:t>Raccolta delle singole piattaforme autorizzate Consob su campagne equity</w:t>
      </w:r>
    </w:p>
    <w:p w14:paraId="412CCA4C" w14:textId="77777777" w:rsidR="00C6137F" w:rsidRDefault="00C6137F" w:rsidP="00C6137F">
      <w:r>
        <w:rPr>
          <w:noProof/>
        </w:rPr>
        <w:drawing>
          <wp:inline distT="0" distB="0" distL="0" distR="0" wp14:anchorId="5612661D" wp14:editId="5B768C30">
            <wp:extent cx="5907944" cy="377425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944" cy="3774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990AF" w14:textId="77777777" w:rsidR="00C6137F" w:rsidRDefault="00C6137F" w:rsidP="00C6137F"/>
    <w:p w14:paraId="7D1089EC" w14:textId="61CD887D" w:rsidR="00C6137F" w:rsidRDefault="00C6137F" w:rsidP="00C6137F"/>
    <w:p w14:paraId="24F9FBC1" w14:textId="253BD483" w:rsidR="00232614" w:rsidRDefault="00232614" w:rsidP="00C6137F"/>
    <w:p w14:paraId="03545E51" w14:textId="56B2E9CB" w:rsidR="00232614" w:rsidRDefault="00232614" w:rsidP="00C6137F"/>
    <w:p w14:paraId="28BFFC92" w14:textId="68494620" w:rsidR="00232614" w:rsidRDefault="00232614" w:rsidP="00C6137F"/>
    <w:p w14:paraId="5E1438B4" w14:textId="48D02DA1" w:rsidR="00232614" w:rsidRDefault="00232614" w:rsidP="00C6137F"/>
    <w:p w14:paraId="757343F7" w14:textId="77777777" w:rsidR="00232614" w:rsidRDefault="00232614" w:rsidP="00C6137F"/>
    <w:p w14:paraId="7E8828C7" w14:textId="77777777" w:rsidR="00C6137F" w:rsidRDefault="00C6137F" w:rsidP="00C6137F">
      <w:pPr>
        <w:pStyle w:val="Paragrafoelenco"/>
        <w:numPr>
          <w:ilvl w:val="0"/>
          <w:numId w:val="1"/>
        </w:numPr>
      </w:pPr>
      <w:r>
        <w:lastRenderedPageBreak/>
        <w:t>Le emittenti (equity)</w:t>
      </w:r>
    </w:p>
    <w:p w14:paraId="489158D9" w14:textId="77777777" w:rsidR="00C6137F" w:rsidRDefault="00C6137F" w:rsidP="00C6137F">
      <w:r>
        <w:rPr>
          <w:noProof/>
        </w:rPr>
        <w:drawing>
          <wp:inline distT="0" distB="0" distL="0" distR="0" wp14:anchorId="451B6B4B" wp14:editId="4D54B2C6">
            <wp:extent cx="5737490" cy="3899929"/>
            <wp:effectExtent l="0" t="0" r="0" b="571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490" cy="3899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A4EBB" w14:textId="77777777" w:rsidR="00C6137F" w:rsidRDefault="00C6137F" w:rsidP="00C6137F">
      <w:pPr>
        <w:pStyle w:val="Paragrafoelenco"/>
        <w:numPr>
          <w:ilvl w:val="0"/>
          <w:numId w:val="1"/>
        </w:numPr>
      </w:pPr>
      <w:r>
        <w:t>Distribuzione geografica emittenti (equity)</w:t>
      </w:r>
    </w:p>
    <w:p w14:paraId="257B23DE" w14:textId="77777777" w:rsidR="00C6137F" w:rsidRDefault="00C6137F" w:rsidP="00C6137F">
      <w:pPr>
        <w:pStyle w:val="Paragrafoelenco"/>
      </w:pPr>
    </w:p>
    <w:p w14:paraId="001BBD84" w14:textId="77777777" w:rsidR="00C6137F" w:rsidRDefault="00C6137F" w:rsidP="00C6137F">
      <w:pPr>
        <w:pStyle w:val="Paragrafoelenco"/>
        <w:ind w:left="0"/>
      </w:pPr>
      <w:r>
        <w:rPr>
          <w:noProof/>
        </w:rPr>
        <w:drawing>
          <wp:inline distT="0" distB="0" distL="0" distR="0" wp14:anchorId="5A256E28" wp14:editId="787D8EB6">
            <wp:extent cx="6071164" cy="3899443"/>
            <wp:effectExtent l="0" t="0" r="6350" b="635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64" cy="3899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21777" w14:textId="61B66F5F" w:rsidR="00C6137F" w:rsidRDefault="00C6137F" w:rsidP="00C6137F"/>
    <w:p w14:paraId="2EDB787D" w14:textId="34AA193F" w:rsidR="004B42DD" w:rsidRDefault="004B42DD" w:rsidP="00C6137F"/>
    <w:p w14:paraId="7C974473" w14:textId="5229E351" w:rsidR="004B42DD" w:rsidRDefault="004B42DD" w:rsidP="00C6137F"/>
    <w:p w14:paraId="2C0277DD" w14:textId="53C7D7DF" w:rsidR="004B42DD" w:rsidRDefault="004B42DD" w:rsidP="00C6137F"/>
    <w:p w14:paraId="13526466" w14:textId="3851BB2E" w:rsidR="004B42DD" w:rsidRDefault="004B42DD" w:rsidP="004B42DD">
      <w:pPr>
        <w:pStyle w:val="Paragrafoelenco"/>
        <w:numPr>
          <w:ilvl w:val="0"/>
          <w:numId w:val="1"/>
        </w:numPr>
      </w:pPr>
      <w:r>
        <w:t>Focus sui progetti “sostenibili” (equity)</w:t>
      </w:r>
      <w:r w:rsidR="00F0309D">
        <w:t>:</w:t>
      </w:r>
      <w:r w:rsidR="00051016">
        <w:br/>
        <w:t>(a sx il numero di campagne e a dx il capitale raccolto in M€ anno per anno)</w:t>
      </w:r>
    </w:p>
    <w:p w14:paraId="5A8DB120" w14:textId="36297CC3" w:rsidR="00051016" w:rsidRDefault="00051016" w:rsidP="00051016">
      <w:r>
        <w:rPr>
          <w:noProof/>
        </w:rPr>
        <w:drawing>
          <wp:inline distT="0" distB="0" distL="0" distR="0" wp14:anchorId="5B2A9A65" wp14:editId="196B0A5D">
            <wp:extent cx="2876550" cy="181899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32" cy="18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DA7B31" wp14:editId="5320EBDF">
            <wp:extent cx="2990850" cy="189207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0" cy="189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5D3B" w14:textId="77777777" w:rsidR="004B42DD" w:rsidRDefault="004B42DD" w:rsidP="00C6137F"/>
    <w:p w14:paraId="598B1802" w14:textId="36094950" w:rsidR="00C6137F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C6137F">
        <w:rPr>
          <w:color w:val="FF0000"/>
        </w:rPr>
        <w:t xml:space="preserve">PORTALI </w:t>
      </w:r>
      <w:r>
        <w:rPr>
          <w:color w:val="FF0000"/>
        </w:rPr>
        <w:t>LENDING</w:t>
      </w:r>
      <w:r w:rsidRPr="00C6137F">
        <w:rPr>
          <w:color w:val="FF0000"/>
        </w:rPr>
        <w:t>:</w:t>
      </w:r>
      <w:r w:rsidR="00131D50">
        <w:rPr>
          <w:color w:val="FF0000"/>
        </w:rPr>
        <w:t xml:space="preserve"> </w:t>
      </w:r>
      <w:r w:rsidR="004D70C7" w:rsidRPr="00131D50">
        <w:rPr>
          <w:b/>
          <w:bCs/>
          <w:color w:val="FF0000"/>
        </w:rPr>
        <w:t>39</w:t>
      </w:r>
      <w:r>
        <w:rPr>
          <w:color w:val="FF0000"/>
        </w:rPr>
        <w:t xml:space="preserve"> (+11 rispetto all’anno scorso</w:t>
      </w:r>
      <w:r w:rsidRPr="00C6137F">
        <w:rPr>
          <w:color w:val="FF0000"/>
        </w:rPr>
        <w:t>)</w:t>
      </w:r>
      <w:r>
        <w:rPr>
          <w:color w:val="FF0000"/>
        </w:rPr>
        <w:t xml:space="preserve"> di cui:</w:t>
      </w:r>
      <w:r w:rsidR="00131D50">
        <w:rPr>
          <w:color w:val="FF0000"/>
        </w:rPr>
        <w:tab/>
      </w:r>
      <w:r w:rsidR="004D70C7">
        <w:rPr>
          <w:color w:val="FF0000"/>
        </w:rPr>
        <w:t>7</w:t>
      </w:r>
      <w:r>
        <w:rPr>
          <w:color w:val="FF0000"/>
        </w:rPr>
        <w:t xml:space="preserve"> CONSUMER (</w:t>
      </w:r>
      <w:r w:rsidR="004D70C7">
        <w:rPr>
          <w:color w:val="FF0000"/>
        </w:rPr>
        <w:t>+1</w:t>
      </w:r>
      <w:r>
        <w:rPr>
          <w:color w:val="FF0000"/>
        </w:rPr>
        <w:t>)</w:t>
      </w:r>
    </w:p>
    <w:p w14:paraId="4824DC8B" w14:textId="4C017909" w:rsidR="00C6137F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D70C7">
        <w:rPr>
          <w:color w:val="FF0000"/>
        </w:rPr>
        <w:t>12</w:t>
      </w:r>
      <w:r>
        <w:rPr>
          <w:color w:val="FF0000"/>
        </w:rPr>
        <w:t xml:space="preserve"> BUSINESS NON IMMOBILIARE (+4)</w:t>
      </w:r>
    </w:p>
    <w:p w14:paraId="492D95D7" w14:textId="0535A3E0" w:rsidR="00C6137F" w:rsidRPr="00C6137F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</w:t>
      </w:r>
      <w:r w:rsidR="004D70C7">
        <w:rPr>
          <w:color w:val="FF0000"/>
        </w:rPr>
        <w:t>20</w:t>
      </w:r>
      <w:r>
        <w:rPr>
          <w:color w:val="FF0000"/>
        </w:rPr>
        <w:t xml:space="preserve"> BUSINESS IMMOBILIARE (+</w:t>
      </w:r>
      <w:r w:rsidR="004D70C7">
        <w:rPr>
          <w:color w:val="FF0000"/>
        </w:rPr>
        <w:t>6</w:t>
      </w:r>
      <w:r>
        <w:rPr>
          <w:color w:val="FF0000"/>
        </w:rPr>
        <w:t>)</w:t>
      </w:r>
    </w:p>
    <w:p w14:paraId="74DA2EAC" w14:textId="77777777" w:rsidR="00C6137F" w:rsidRDefault="00C6137F" w:rsidP="00C6137F"/>
    <w:p w14:paraId="555DAF0D" w14:textId="6DC02EF8" w:rsidR="00FB6BF0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Erogato da piattaforme consumer</w:t>
      </w:r>
    </w:p>
    <w:p w14:paraId="5BA3A330" w14:textId="77777777" w:rsidR="00C6137F" w:rsidRDefault="00C6137F" w:rsidP="00C6137F">
      <w:r>
        <w:rPr>
          <w:noProof/>
        </w:rPr>
        <w:drawing>
          <wp:inline distT="0" distB="0" distL="0" distR="0" wp14:anchorId="3A9F6D09" wp14:editId="14283EC0">
            <wp:extent cx="5696326" cy="3244456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" b="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26" cy="32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84EB7" w14:textId="77777777" w:rsidR="00C6137F" w:rsidRDefault="00C6137F" w:rsidP="00C6137F"/>
    <w:p w14:paraId="4CB099FF" w14:textId="3915A7BE" w:rsidR="00C6137F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Erogato da piattaforme business non immobiliare (</w:t>
      </w:r>
      <w:r w:rsidR="00822F6B">
        <w:t>* =</w:t>
      </w:r>
      <w:r>
        <w:t xml:space="preserve"> da quest’anno scorporiamo dalle statistiche </w:t>
      </w:r>
      <w:r w:rsidR="00FB6BF0">
        <w:t>a</w:t>
      </w:r>
      <w:r w:rsidR="00055523">
        <w:t>n</w:t>
      </w:r>
      <w:r w:rsidR="00FB6BF0">
        <w:t xml:space="preserve">che </w:t>
      </w:r>
      <w:proofErr w:type="spellStart"/>
      <w:r w:rsidR="00FB6BF0">
        <w:t>Opyn</w:t>
      </w:r>
      <w:proofErr w:type="spellEnd"/>
      <w:r w:rsidR="00FB6BF0">
        <w:t xml:space="preserve">, ex </w:t>
      </w:r>
      <w:proofErr w:type="spellStart"/>
      <w:r w:rsidR="00FB6BF0">
        <w:t>Borsadelcredito</w:t>
      </w:r>
      <w:proofErr w:type="spellEnd"/>
      <w:r w:rsidR="00FB6BF0">
        <w:t>)</w:t>
      </w:r>
    </w:p>
    <w:p w14:paraId="2E10AB79" w14:textId="77777777" w:rsidR="00C6137F" w:rsidRDefault="00C6137F" w:rsidP="00C6137F">
      <w:r>
        <w:rPr>
          <w:noProof/>
        </w:rPr>
        <w:lastRenderedPageBreak/>
        <w:drawing>
          <wp:inline distT="0" distB="0" distL="0" distR="0" wp14:anchorId="170F8FC1" wp14:editId="2EFD7E14">
            <wp:extent cx="5449203" cy="3603073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203" cy="3603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F00A5" w14:textId="77777777" w:rsidR="00C6137F" w:rsidRDefault="00C6137F" w:rsidP="00C6137F"/>
    <w:p w14:paraId="1918A2EB" w14:textId="77777777" w:rsidR="00C6137F" w:rsidRDefault="00C6137F" w:rsidP="00C6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90CF6">
        <w:t>Erogato da piattaforme business immobiliare</w:t>
      </w:r>
    </w:p>
    <w:p w14:paraId="612ED734" w14:textId="77777777" w:rsidR="00C6137F" w:rsidRDefault="00B02F31" w:rsidP="00C6137F">
      <w:r>
        <w:rPr>
          <w:noProof/>
        </w:rPr>
        <w:drawing>
          <wp:inline distT="0" distB="0" distL="0" distR="0" wp14:anchorId="70CE8F34" wp14:editId="380B50AA">
            <wp:extent cx="5833549" cy="3652957"/>
            <wp:effectExtent l="0" t="0" r="0" b="508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49" cy="3652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137F" w:rsidSect="00C6137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338B"/>
    <w:multiLevelType w:val="hybridMultilevel"/>
    <w:tmpl w:val="0A6C4ACC"/>
    <w:lvl w:ilvl="0" w:tplc="319210C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3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0E"/>
    <w:rsid w:val="00051016"/>
    <w:rsid w:val="00055523"/>
    <w:rsid w:val="00131D50"/>
    <w:rsid w:val="001520C5"/>
    <w:rsid w:val="00215865"/>
    <w:rsid w:val="00232614"/>
    <w:rsid w:val="00282EFC"/>
    <w:rsid w:val="002A740E"/>
    <w:rsid w:val="003E35CA"/>
    <w:rsid w:val="004A0C9A"/>
    <w:rsid w:val="004A33D8"/>
    <w:rsid w:val="004B42DD"/>
    <w:rsid w:val="004D70C7"/>
    <w:rsid w:val="005537C6"/>
    <w:rsid w:val="00592181"/>
    <w:rsid w:val="005D5D81"/>
    <w:rsid w:val="006030B2"/>
    <w:rsid w:val="0066124C"/>
    <w:rsid w:val="00822F6B"/>
    <w:rsid w:val="00890CF6"/>
    <w:rsid w:val="00A07584"/>
    <w:rsid w:val="00AA6A85"/>
    <w:rsid w:val="00B02F31"/>
    <w:rsid w:val="00B51F71"/>
    <w:rsid w:val="00BD1B36"/>
    <w:rsid w:val="00C6137F"/>
    <w:rsid w:val="00E949AD"/>
    <w:rsid w:val="00EE3CFA"/>
    <w:rsid w:val="00F0309D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63FC"/>
  <w15:chartTrackingRefBased/>
  <w15:docId w15:val="{F2510F7C-3BCC-42C4-BF80-E900A465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2A74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tolo2ParagrafoTitoli">
    <w:name w:val="Titolo 2 Paragrafo (Titoli)"/>
    <w:basedOn w:val="Normale"/>
    <w:uiPriority w:val="99"/>
    <w:rsid w:val="002A740E"/>
    <w:pPr>
      <w:suppressAutoHyphens/>
      <w:autoSpaceDE w:val="0"/>
      <w:autoSpaceDN w:val="0"/>
      <w:adjustRightInd w:val="0"/>
      <w:spacing w:after="0" w:line="259" w:lineRule="atLeast"/>
      <w:textAlignment w:val="center"/>
    </w:pPr>
    <w:rPr>
      <w:rFonts w:ascii="Univers Bold" w:hAnsi="Univers Bold" w:cs="Univers Bold"/>
      <w:b/>
      <w:bCs/>
      <w:color w:val="000798"/>
      <w:sz w:val="23"/>
      <w:szCs w:val="23"/>
    </w:rPr>
  </w:style>
  <w:style w:type="paragraph" w:styleId="Testonormale">
    <w:name w:val="Plain Text"/>
    <w:basedOn w:val="Normale"/>
    <w:link w:val="TestonormaleCarattere"/>
    <w:uiPriority w:val="99"/>
    <w:rsid w:val="002A740E"/>
    <w:pPr>
      <w:autoSpaceDE w:val="0"/>
      <w:autoSpaceDN w:val="0"/>
      <w:adjustRightInd w:val="0"/>
      <w:spacing w:after="0" w:line="259" w:lineRule="atLeast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740E"/>
    <w:rPr>
      <w:rFonts w:ascii="Minion Pro" w:hAnsi="Minion Pro" w:cs="Minion Pro"/>
      <w:color w:val="000000"/>
    </w:rPr>
  </w:style>
  <w:style w:type="paragraph" w:customStyle="1" w:styleId="Titolo2Paragrafo-noIndiceTitoli">
    <w:name w:val="Titolo 2 Paragrafo - no Indice (Titoli)"/>
    <w:basedOn w:val="Nessunostileparagrafo"/>
    <w:uiPriority w:val="99"/>
    <w:rsid w:val="002A740E"/>
    <w:pPr>
      <w:suppressAutoHyphens/>
      <w:spacing w:line="259" w:lineRule="atLeast"/>
    </w:pPr>
    <w:rPr>
      <w:rFonts w:ascii="Univers Bold" w:hAnsi="Univers Bold" w:cs="Univers Bold"/>
      <w:b/>
      <w:bCs/>
      <w:color w:val="000798"/>
      <w:sz w:val="23"/>
      <w:szCs w:val="23"/>
      <w:lang w:val="it-IT"/>
    </w:rPr>
  </w:style>
  <w:style w:type="character" w:customStyle="1" w:styleId="ElenchipuntatienumeratiElenco">
    <w:name w:val="Elenchi puntati e numerati (Elenco)"/>
    <w:uiPriority w:val="99"/>
    <w:rsid w:val="002A740E"/>
    <w:rPr>
      <w:sz w:val="14"/>
      <w:szCs w:val="14"/>
    </w:rPr>
  </w:style>
  <w:style w:type="paragraph" w:styleId="Paragrafoelenco">
    <w:name w:val="List Paragraph"/>
    <w:basedOn w:val="Normale"/>
    <w:uiPriority w:val="34"/>
    <w:qFormat/>
    <w:rsid w:val="002A74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Giudici</dc:creator>
  <cp:keywords/>
  <dc:description/>
  <cp:lastModifiedBy>Matteo Conti</cp:lastModifiedBy>
  <cp:revision>26</cp:revision>
  <cp:lastPrinted>2021-07-17T13:10:00Z</cp:lastPrinted>
  <dcterms:created xsi:type="dcterms:W3CDTF">2021-07-20T06:49:00Z</dcterms:created>
  <dcterms:modified xsi:type="dcterms:W3CDTF">2022-07-18T13:44:00Z</dcterms:modified>
</cp:coreProperties>
</file>