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6830" w14:textId="77777777" w:rsidR="006B3A6E" w:rsidRDefault="0020237D" w:rsidP="00F1766C">
      <w:r w:rsidRPr="0020237D">
        <w:rPr>
          <w:noProof/>
          <w:lang w:eastAsia="it-IT"/>
        </w:rPr>
        <w:drawing>
          <wp:anchor distT="0" distB="0" distL="114300" distR="114300" simplePos="0" relativeHeight="251658240" behindDoc="0" locked="0" layoutInCell="1" allowOverlap="1" wp14:anchorId="05DF269C" wp14:editId="5CD8DF26">
            <wp:simplePos x="0" y="0"/>
            <wp:positionH relativeFrom="margin">
              <wp:posOffset>2747010</wp:posOffset>
            </wp:positionH>
            <wp:positionV relativeFrom="margin">
              <wp:posOffset>-4445</wp:posOffset>
            </wp:positionV>
            <wp:extent cx="3371850" cy="390525"/>
            <wp:effectExtent l="0" t="0" r="0" b="9525"/>
            <wp:wrapSquare wrapText="bothSides"/>
            <wp:docPr id="2" name="Immagine 2" descr="C:\Users\Utente\Desktop\logo_vercapital_smal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_vercapital_small_f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390525"/>
                    </a:xfrm>
                    <a:prstGeom prst="rect">
                      <a:avLst/>
                    </a:prstGeom>
                    <a:noFill/>
                    <a:ln>
                      <a:noFill/>
                    </a:ln>
                  </pic:spPr>
                </pic:pic>
              </a:graphicData>
            </a:graphic>
            <wp14:sizeRelH relativeFrom="margin">
              <wp14:pctWidth>0</wp14:pctWidth>
            </wp14:sizeRelH>
          </wp:anchor>
        </w:drawing>
      </w:r>
      <w:r w:rsidRPr="0020237D">
        <w:rPr>
          <w:noProof/>
          <w:lang w:eastAsia="it-IT"/>
        </w:rPr>
        <w:drawing>
          <wp:inline distT="0" distB="0" distL="0" distR="0" wp14:anchorId="06F5A2A7" wp14:editId="2D4507F8">
            <wp:extent cx="2057400" cy="577921"/>
            <wp:effectExtent l="0" t="0" r="0" b="0"/>
            <wp:docPr id="1" name="Immagine 1" descr="C:\Users\Utente\Documents\BRAND REPORTER CONSULTING\Sinloc\sinl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BRAND REPORTER CONSULTING\Sinloc\sinlo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835" cy="584504"/>
                    </a:xfrm>
                    <a:prstGeom prst="rect">
                      <a:avLst/>
                    </a:prstGeom>
                    <a:noFill/>
                    <a:ln>
                      <a:noFill/>
                    </a:ln>
                  </pic:spPr>
                </pic:pic>
              </a:graphicData>
            </a:graphic>
          </wp:inline>
        </w:drawing>
      </w:r>
      <w:r w:rsidRPr="002023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9899A4C" w14:textId="77777777" w:rsidR="002677DB" w:rsidRDefault="002677DB" w:rsidP="00F1766C">
      <w:pPr>
        <w:rPr>
          <w:rFonts w:ascii="Arial" w:hAnsi="Arial" w:cs="Arial"/>
          <w:b/>
          <w:sz w:val="20"/>
          <w:szCs w:val="20"/>
        </w:rPr>
      </w:pPr>
    </w:p>
    <w:p w14:paraId="04D3C547" w14:textId="2094DA5B" w:rsidR="006B3A6E" w:rsidRPr="00ED7C63" w:rsidRDefault="007314F0" w:rsidP="00F1766C">
      <w:pPr>
        <w:rPr>
          <w:rFonts w:ascii="Arial" w:hAnsi="Arial" w:cs="Arial"/>
          <w:b/>
          <w:sz w:val="20"/>
          <w:szCs w:val="20"/>
        </w:rPr>
      </w:pPr>
      <w:r w:rsidRPr="00ED7C63">
        <w:rPr>
          <w:rFonts w:ascii="Arial" w:hAnsi="Arial" w:cs="Arial"/>
          <w:b/>
          <w:sz w:val="20"/>
          <w:szCs w:val="20"/>
        </w:rPr>
        <w:t xml:space="preserve">DA </w:t>
      </w:r>
      <w:r w:rsidR="006B3A6E" w:rsidRPr="00ED7C63">
        <w:rPr>
          <w:rFonts w:ascii="Arial" w:hAnsi="Arial" w:cs="Arial"/>
          <w:b/>
          <w:sz w:val="20"/>
          <w:szCs w:val="20"/>
        </w:rPr>
        <w:t xml:space="preserve">VER CAPITAL E SINLOC </w:t>
      </w:r>
      <w:r w:rsidRPr="00ED7C63">
        <w:rPr>
          <w:rFonts w:ascii="Arial" w:hAnsi="Arial" w:cs="Arial"/>
          <w:b/>
          <w:sz w:val="20"/>
          <w:szCs w:val="20"/>
        </w:rPr>
        <w:t>IL “FIRST CLOSING” DEL</w:t>
      </w:r>
      <w:r w:rsidR="006B3A6E" w:rsidRPr="00ED7C63">
        <w:rPr>
          <w:rFonts w:ascii="Arial" w:hAnsi="Arial" w:cs="Arial"/>
          <w:b/>
          <w:sz w:val="20"/>
          <w:szCs w:val="20"/>
        </w:rPr>
        <w:t xml:space="preserve"> FONDO DI TRANSIZIONE ENERGETICA</w:t>
      </w:r>
    </w:p>
    <w:p w14:paraId="4B43FA2D" w14:textId="3310A253" w:rsidR="00F1766C" w:rsidRPr="001231FB" w:rsidRDefault="00094E00" w:rsidP="000B034C">
      <w:pPr>
        <w:jc w:val="both"/>
        <w:rPr>
          <w:rFonts w:ascii="Arial" w:hAnsi="Arial" w:cs="Arial"/>
          <w:sz w:val="20"/>
          <w:szCs w:val="20"/>
        </w:rPr>
      </w:pPr>
      <w:r w:rsidRPr="001231FB">
        <w:rPr>
          <w:rFonts w:ascii="Arial" w:hAnsi="Arial" w:cs="Arial"/>
          <w:sz w:val="20"/>
          <w:szCs w:val="20"/>
        </w:rPr>
        <w:t>Arriva il “first closing” per il “</w:t>
      </w:r>
      <w:r w:rsidRPr="001231FB">
        <w:rPr>
          <w:rFonts w:ascii="Arial" w:hAnsi="Arial" w:cs="Arial"/>
          <w:b/>
          <w:bCs/>
          <w:sz w:val="20"/>
          <w:szCs w:val="20"/>
        </w:rPr>
        <w:t>Ver Capital Sinloc Transition Energy Fund</w:t>
      </w:r>
      <w:r w:rsidRPr="001231FB">
        <w:rPr>
          <w:rFonts w:ascii="Arial" w:hAnsi="Arial" w:cs="Arial"/>
          <w:sz w:val="20"/>
          <w:szCs w:val="20"/>
        </w:rPr>
        <w:t xml:space="preserve">”, che si propone come il primo vero fondo nazionale di efficientamento energetico. </w:t>
      </w:r>
    </w:p>
    <w:p w14:paraId="25D548E7" w14:textId="266C375E" w:rsidR="007E38AA" w:rsidRPr="007E38AA" w:rsidRDefault="007E38AA" w:rsidP="007E38AA">
      <w:pPr>
        <w:jc w:val="both"/>
        <w:rPr>
          <w:rFonts w:ascii="Arial" w:hAnsi="Arial" w:cs="Arial"/>
          <w:sz w:val="20"/>
          <w:szCs w:val="20"/>
        </w:rPr>
      </w:pPr>
      <w:r w:rsidRPr="007E38AA">
        <w:rPr>
          <w:rFonts w:ascii="Arial" w:hAnsi="Arial" w:cs="Arial"/>
          <w:sz w:val="20"/>
          <w:szCs w:val="20"/>
        </w:rPr>
        <w:t xml:space="preserve">Il Fondo, promosso e gestito da Ver Capital con il supporto di Sinloc nel ruolo di advisor tecnico, parte quindi con un primo closing di 45 milioni ed ha un obiettivo di raccolta di 200 milioni di euro, con un target di rendimento netto per gli investitori pari al 10%. Tra gli obiettivi principali del Fondo: l’attivazione di investimenti destinati principalmente all’efficientamento energetico di grandi edifici pubblici quali ospedali, scuole o poli museali, lo sviluppo di “smart cities”, che puntino sulla digitalizzazione di parcheggi ed illuminazione pubblica, e la realizzazione di impianti alle per la produzione di energie rinnovabili. </w:t>
      </w:r>
    </w:p>
    <w:p w14:paraId="210CEB65" w14:textId="2925B3B7" w:rsidR="007E38AA" w:rsidRPr="001231FB" w:rsidRDefault="007E38AA" w:rsidP="007E38AA">
      <w:pPr>
        <w:jc w:val="both"/>
        <w:rPr>
          <w:rFonts w:ascii="Arial" w:hAnsi="Arial" w:cs="Arial"/>
          <w:sz w:val="20"/>
          <w:szCs w:val="20"/>
        </w:rPr>
      </w:pPr>
      <w:r w:rsidRPr="007E38AA">
        <w:rPr>
          <w:rFonts w:ascii="Arial" w:hAnsi="Arial" w:cs="Arial"/>
          <w:sz w:val="20"/>
          <w:szCs w:val="20"/>
        </w:rPr>
        <w:t>Il Team congiunto Ver Sinloc può contare su una pipeline significativa di investimenti derivanti dai consolidati rapporti con partner industriali, all’interno di contesti non competitivi, principalmente in partenariato pubblico-privato, che già in partenza soddisfano una parte significativa delle necessità di investimento del Fondo.</w:t>
      </w:r>
    </w:p>
    <w:p w14:paraId="55AD5445" w14:textId="4D699F44" w:rsidR="00F402BA" w:rsidRPr="001231FB" w:rsidRDefault="00F402BA" w:rsidP="00F402BA">
      <w:pPr>
        <w:spacing w:after="200" w:line="276" w:lineRule="auto"/>
        <w:jc w:val="both"/>
        <w:rPr>
          <w:rFonts w:ascii="Arial" w:hAnsi="Arial" w:cs="Arial"/>
          <w:sz w:val="20"/>
          <w:szCs w:val="20"/>
        </w:rPr>
      </w:pPr>
      <w:r w:rsidRPr="001231FB">
        <w:rPr>
          <w:rFonts w:ascii="Arial" w:hAnsi="Arial" w:cs="Arial"/>
          <w:sz w:val="20"/>
          <w:szCs w:val="20"/>
        </w:rPr>
        <w:t>Il Fondo di Transizione Energetica si configura come una piattaforma di impact investing nel settore della transizione energetica e delle energie rinnovabili ed è classificato come “</w:t>
      </w:r>
      <w:r w:rsidR="00436368" w:rsidRPr="001231FB">
        <w:rPr>
          <w:rFonts w:ascii="Arial" w:hAnsi="Arial" w:cs="Arial"/>
          <w:sz w:val="20"/>
          <w:szCs w:val="20"/>
        </w:rPr>
        <w:t>A</w:t>
      </w:r>
      <w:r w:rsidRPr="001231FB">
        <w:rPr>
          <w:rFonts w:ascii="Arial" w:hAnsi="Arial" w:cs="Arial"/>
          <w:sz w:val="20"/>
          <w:szCs w:val="20"/>
        </w:rPr>
        <w:t>rticolo 9” in base alla direttiva SFDR</w:t>
      </w:r>
      <w:r w:rsidR="00A35D87" w:rsidRPr="001231FB">
        <w:rPr>
          <w:rFonts w:ascii="Arial" w:hAnsi="Arial" w:cs="Arial"/>
          <w:sz w:val="20"/>
          <w:szCs w:val="20"/>
        </w:rPr>
        <w:t xml:space="preserve"> (Sustainable finance disclosure regulation), ovvero il massimo per un prodotto finanziario “destinato ad investimenti sostenibili”</w:t>
      </w:r>
      <w:r w:rsidR="00287B96" w:rsidRPr="001231FB">
        <w:rPr>
          <w:rFonts w:ascii="Arial" w:hAnsi="Arial" w:cs="Arial"/>
          <w:sz w:val="20"/>
          <w:szCs w:val="20"/>
        </w:rPr>
        <w:t>.</w:t>
      </w:r>
    </w:p>
    <w:p w14:paraId="184B131B" w14:textId="660B8270" w:rsidR="00EC09B7" w:rsidRPr="001231FB" w:rsidRDefault="00287B96" w:rsidP="000B034C">
      <w:pPr>
        <w:jc w:val="both"/>
        <w:rPr>
          <w:rFonts w:ascii="Arial" w:hAnsi="Arial" w:cs="Arial"/>
          <w:sz w:val="20"/>
          <w:szCs w:val="20"/>
        </w:rPr>
      </w:pPr>
      <w:r w:rsidRPr="001231FB">
        <w:rPr>
          <w:rFonts w:ascii="Arial" w:hAnsi="Arial" w:cs="Arial"/>
          <w:sz w:val="20"/>
          <w:szCs w:val="20"/>
        </w:rPr>
        <w:t>I circa quindi</w:t>
      </w:r>
      <w:r w:rsidR="00E4258C" w:rsidRPr="001231FB">
        <w:rPr>
          <w:rFonts w:ascii="Arial" w:hAnsi="Arial" w:cs="Arial"/>
          <w:sz w:val="20"/>
          <w:szCs w:val="20"/>
        </w:rPr>
        <w:t>ci</w:t>
      </w:r>
      <w:r w:rsidRPr="001231FB">
        <w:rPr>
          <w:rFonts w:ascii="Arial" w:hAnsi="Arial" w:cs="Arial"/>
          <w:sz w:val="20"/>
          <w:szCs w:val="20"/>
        </w:rPr>
        <w:t xml:space="preserve"> investimenti su cui punterà il fondo genereranno </w:t>
      </w:r>
      <w:r w:rsidR="00E4258C" w:rsidRPr="001231FB">
        <w:rPr>
          <w:rFonts w:ascii="Arial" w:hAnsi="Arial" w:cs="Arial"/>
          <w:sz w:val="20"/>
          <w:szCs w:val="20"/>
        </w:rPr>
        <w:t xml:space="preserve">infatti </w:t>
      </w:r>
      <w:r w:rsidRPr="001231FB">
        <w:rPr>
          <w:rFonts w:ascii="Arial" w:hAnsi="Arial" w:cs="Arial"/>
          <w:sz w:val="20"/>
          <w:szCs w:val="20"/>
        </w:rPr>
        <w:t xml:space="preserve">chiari </w:t>
      </w:r>
      <w:r w:rsidR="00EC09B7" w:rsidRPr="001231FB">
        <w:rPr>
          <w:rFonts w:ascii="Arial" w:hAnsi="Arial" w:cs="Arial"/>
          <w:sz w:val="20"/>
          <w:szCs w:val="20"/>
        </w:rPr>
        <w:t>obiettivi di impatto, pari ad almeno 9mila TEP/anno di risparmi di energia primaria e 15mila tonnellate di CO2/anno di emissioni di gas serra evitate.</w:t>
      </w:r>
    </w:p>
    <w:p w14:paraId="09E171D5" w14:textId="5C6242D9" w:rsidR="00F1766C" w:rsidRPr="001231FB" w:rsidRDefault="00EC09B7" w:rsidP="000B034C">
      <w:pPr>
        <w:jc w:val="both"/>
        <w:rPr>
          <w:rFonts w:ascii="Arial" w:hAnsi="Arial" w:cs="Arial"/>
          <w:sz w:val="20"/>
          <w:szCs w:val="20"/>
        </w:rPr>
      </w:pPr>
      <w:r w:rsidRPr="001231FB">
        <w:rPr>
          <w:rFonts w:ascii="Arial" w:hAnsi="Arial" w:cs="Arial"/>
          <w:sz w:val="20"/>
          <w:szCs w:val="20"/>
        </w:rPr>
        <w:t>G</w:t>
      </w:r>
      <w:r w:rsidR="00F1766C" w:rsidRPr="001231FB">
        <w:rPr>
          <w:rFonts w:ascii="Arial" w:hAnsi="Arial" w:cs="Arial"/>
          <w:sz w:val="20"/>
          <w:szCs w:val="20"/>
        </w:rPr>
        <w:t>li investimenti nell’efficienza energetica rappresentano per l’investitore, se ben strutturati e gestiti, un</w:t>
      </w:r>
      <w:r w:rsidR="009A4AB9" w:rsidRPr="001231FB">
        <w:rPr>
          <w:rFonts w:ascii="Arial" w:hAnsi="Arial" w:cs="Arial"/>
          <w:sz w:val="20"/>
          <w:szCs w:val="20"/>
        </w:rPr>
        <w:t>’</w:t>
      </w:r>
      <w:r w:rsidR="00F1766C" w:rsidRPr="001231FB">
        <w:rPr>
          <w:rFonts w:ascii="Arial" w:hAnsi="Arial" w:cs="Arial"/>
          <w:sz w:val="20"/>
          <w:szCs w:val="20"/>
        </w:rPr>
        <w:t>opportunità in relazione al</w:t>
      </w:r>
      <w:r w:rsidR="007314F0" w:rsidRPr="001231FB">
        <w:rPr>
          <w:rFonts w:ascii="Arial" w:hAnsi="Arial" w:cs="Arial"/>
          <w:sz w:val="20"/>
          <w:szCs w:val="20"/>
        </w:rPr>
        <w:t>l’ottimo</w:t>
      </w:r>
      <w:r w:rsidR="00F1766C" w:rsidRPr="001231FB">
        <w:rPr>
          <w:rFonts w:ascii="Arial" w:hAnsi="Arial" w:cs="Arial"/>
          <w:sz w:val="20"/>
          <w:szCs w:val="20"/>
        </w:rPr>
        <w:t xml:space="preserve"> rapporto tra rischio e rendimento</w:t>
      </w:r>
      <w:r w:rsidR="009A4AB9" w:rsidRPr="001231FB">
        <w:rPr>
          <w:rFonts w:ascii="Arial" w:hAnsi="Arial" w:cs="Arial"/>
          <w:sz w:val="20"/>
          <w:szCs w:val="20"/>
        </w:rPr>
        <w:t>,</w:t>
      </w:r>
      <w:r w:rsidRPr="001231FB">
        <w:rPr>
          <w:rFonts w:ascii="Arial" w:hAnsi="Arial" w:cs="Arial"/>
          <w:sz w:val="20"/>
          <w:szCs w:val="20"/>
        </w:rPr>
        <w:t xml:space="preserve"> alla bassa volatilità ed alta prevedibilità dei flussi di cassa</w:t>
      </w:r>
      <w:r w:rsidR="009A4AB9" w:rsidRPr="001231FB">
        <w:rPr>
          <w:rFonts w:ascii="Arial" w:hAnsi="Arial" w:cs="Arial"/>
          <w:sz w:val="20"/>
          <w:szCs w:val="20"/>
        </w:rPr>
        <w:t xml:space="preserve">, </w:t>
      </w:r>
      <w:r w:rsidR="000B034C" w:rsidRPr="001231FB">
        <w:rPr>
          <w:rFonts w:ascii="Arial" w:hAnsi="Arial" w:cs="Arial"/>
          <w:sz w:val="20"/>
          <w:szCs w:val="20"/>
        </w:rPr>
        <w:t>a</w:t>
      </w:r>
      <w:r w:rsidR="00F1766C" w:rsidRPr="001231FB">
        <w:rPr>
          <w:rFonts w:ascii="Arial" w:hAnsi="Arial" w:cs="Arial"/>
          <w:sz w:val="20"/>
          <w:szCs w:val="20"/>
        </w:rPr>
        <w:t xml:space="preserve"> cui si associa </w:t>
      </w:r>
      <w:r w:rsidR="007314F0" w:rsidRPr="001231FB">
        <w:rPr>
          <w:rFonts w:ascii="Arial" w:hAnsi="Arial" w:cs="Arial"/>
          <w:sz w:val="20"/>
          <w:szCs w:val="20"/>
        </w:rPr>
        <w:t>l’</w:t>
      </w:r>
      <w:r w:rsidR="00F1766C" w:rsidRPr="001231FB">
        <w:rPr>
          <w:rFonts w:ascii="Arial" w:hAnsi="Arial" w:cs="Arial"/>
          <w:sz w:val="20"/>
          <w:szCs w:val="20"/>
        </w:rPr>
        <w:t>impatto positivo sotto il profilo ambientale e sociale.</w:t>
      </w:r>
      <w:r w:rsidRPr="001231FB">
        <w:rPr>
          <w:rFonts w:ascii="Arial" w:hAnsi="Arial" w:cs="Arial"/>
          <w:sz w:val="20"/>
          <w:szCs w:val="20"/>
        </w:rPr>
        <w:t xml:space="preserve"> </w:t>
      </w:r>
    </w:p>
    <w:p w14:paraId="1D148D69" w14:textId="7744E85B" w:rsidR="00F1766C" w:rsidRPr="001231FB" w:rsidRDefault="00F1766C" w:rsidP="000B034C">
      <w:pPr>
        <w:jc w:val="both"/>
        <w:rPr>
          <w:rFonts w:ascii="Arial" w:hAnsi="Arial" w:cs="Arial"/>
          <w:sz w:val="20"/>
          <w:szCs w:val="20"/>
        </w:rPr>
      </w:pPr>
      <w:r w:rsidRPr="001231FB">
        <w:rPr>
          <w:rFonts w:ascii="Arial" w:hAnsi="Arial" w:cs="Arial"/>
          <w:sz w:val="20"/>
          <w:szCs w:val="20"/>
        </w:rPr>
        <w:t xml:space="preserve">La possibilità di intercettare operazioni di investimento con tali caratteristiche è supportata anche dai risultati ottenuti da Sinloc, che, </w:t>
      </w:r>
      <w:r w:rsidR="007314F0" w:rsidRPr="001231FB">
        <w:rPr>
          <w:rFonts w:ascii="Arial" w:hAnsi="Arial" w:cs="Arial"/>
          <w:sz w:val="20"/>
          <w:szCs w:val="20"/>
        </w:rPr>
        <w:t>nell’ultimo</w:t>
      </w:r>
      <w:r w:rsidRPr="001231FB">
        <w:rPr>
          <w:rFonts w:ascii="Arial" w:hAnsi="Arial" w:cs="Arial"/>
          <w:sz w:val="20"/>
          <w:szCs w:val="20"/>
        </w:rPr>
        <w:t xml:space="preserve"> decennio, ha attivato sul territorio nazionale più di </w:t>
      </w:r>
      <w:r w:rsidR="00436368" w:rsidRPr="001231FB">
        <w:rPr>
          <w:rFonts w:ascii="Arial" w:hAnsi="Arial" w:cs="Arial"/>
          <w:sz w:val="20"/>
          <w:szCs w:val="20"/>
        </w:rPr>
        <w:t>1.6 miliardi</w:t>
      </w:r>
      <w:r w:rsidRPr="001231FB">
        <w:rPr>
          <w:rFonts w:ascii="Arial" w:hAnsi="Arial" w:cs="Arial"/>
          <w:sz w:val="20"/>
          <w:szCs w:val="20"/>
        </w:rPr>
        <w:t xml:space="preserve"> di investimenti a favore dello sviluppo di infrastrutture locali, energie rinnovabili ed efficienza energetica, principalmente attraverso il </w:t>
      </w:r>
      <w:r w:rsidR="00436368" w:rsidRPr="001231FB">
        <w:rPr>
          <w:rFonts w:ascii="Arial" w:hAnsi="Arial" w:cs="Arial"/>
          <w:sz w:val="20"/>
          <w:szCs w:val="20"/>
        </w:rPr>
        <w:t>p</w:t>
      </w:r>
      <w:r w:rsidRPr="001231FB">
        <w:rPr>
          <w:rFonts w:ascii="Arial" w:hAnsi="Arial" w:cs="Arial"/>
          <w:sz w:val="20"/>
          <w:szCs w:val="20"/>
        </w:rPr>
        <w:t xml:space="preserve">artenariato </w:t>
      </w:r>
      <w:r w:rsidR="00436368" w:rsidRPr="001231FB">
        <w:rPr>
          <w:rFonts w:ascii="Arial" w:hAnsi="Arial" w:cs="Arial"/>
          <w:sz w:val="20"/>
          <w:szCs w:val="20"/>
        </w:rPr>
        <w:t>p</w:t>
      </w:r>
      <w:r w:rsidRPr="001231FB">
        <w:rPr>
          <w:rFonts w:ascii="Arial" w:hAnsi="Arial" w:cs="Arial"/>
          <w:sz w:val="20"/>
          <w:szCs w:val="20"/>
        </w:rPr>
        <w:t>ubblico-</w:t>
      </w:r>
      <w:r w:rsidR="00436368" w:rsidRPr="001231FB">
        <w:rPr>
          <w:rFonts w:ascii="Arial" w:hAnsi="Arial" w:cs="Arial"/>
          <w:sz w:val="20"/>
          <w:szCs w:val="20"/>
        </w:rPr>
        <w:t>p</w:t>
      </w:r>
      <w:r w:rsidRPr="001231FB">
        <w:rPr>
          <w:rFonts w:ascii="Arial" w:hAnsi="Arial" w:cs="Arial"/>
          <w:sz w:val="20"/>
          <w:szCs w:val="20"/>
        </w:rPr>
        <w:t>rivato.</w:t>
      </w:r>
    </w:p>
    <w:p w14:paraId="1B9E75D5" w14:textId="7D7108ED" w:rsidR="002E05FC" w:rsidRPr="001231FB" w:rsidRDefault="002E05FC" w:rsidP="000B034C">
      <w:pPr>
        <w:jc w:val="both"/>
        <w:rPr>
          <w:rFonts w:ascii="Arial" w:hAnsi="Arial" w:cs="Arial"/>
          <w:sz w:val="20"/>
          <w:szCs w:val="20"/>
        </w:rPr>
      </w:pPr>
      <w:r w:rsidRPr="001231FB">
        <w:rPr>
          <w:rFonts w:ascii="Arial" w:hAnsi="Arial" w:cs="Arial"/>
          <w:sz w:val="20"/>
          <w:szCs w:val="20"/>
        </w:rPr>
        <w:t>Al fine di ottimizzare il profilo di cassa degli investitori</w:t>
      </w:r>
      <w:r w:rsidR="007314F0" w:rsidRPr="001231FB">
        <w:rPr>
          <w:rFonts w:ascii="Arial" w:hAnsi="Arial" w:cs="Arial"/>
          <w:sz w:val="20"/>
          <w:szCs w:val="20"/>
        </w:rPr>
        <w:t xml:space="preserve"> professionali</w:t>
      </w:r>
      <w:r w:rsidR="0098172D" w:rsidRPr="001231FB">
        <w:rPr>
          <w:rFonts w:ascii="Arial" w:hAnsi="Arial" w:cs="Arial"/>
          <w:sz w:val="20"/>
          <w:szCs w:val="20"/>
        </w:rPr>
        <w:t>,</w:t>
      </w:r>
      <w:r w:rsidRPr="001231FB">
        <w:rPr>
          <w:rFonts w:ascii="Arial" w:hAnsi="Arial" w:cs="Arial"/>
          <w:sz w:val="20"/>
          <w:szCs w:val="20"/>
        </w:rPr>
        <w:t xml:space="preserve"> il Fondo vedrà nei primi due anni di vita una prevalenza di iniziative c</w:t>
      </w:r>
      <w:r w:rsidR="007314F0" w:rsidRPr="001231FB">
        <w:rPr>
          <w:rFonts w:ascii="Arial" w:hAnsi="Arial" w:cs="Arial"/>
          <w:sz w:val="20"/>
          <w:szCs w:val="20"/>
        </w:rPr>
        <w:t>osiddette</w:t>
      </w:r>
      <w:r w:rsidRPr="001231FB">
        <w:rPr>
          <w:rFonts w:ascii="Arial" w:hAnsi="Arial" w:cs="Arial"/>
          <w:sz w:val="20"/>
          <w:szCs w:val="20"/>
        </w:rPr>
        <w:t xml:space="preserve"> </w:t>
      </w:r>
      <w:r w:rsidRPr="001231FB">
        <w:rPr>
          <w:rFonts w:ascii="Arial" w:hAnsi="Arial" w:cs="Arial"/>
          <w:i/>
          <w:iCs/>
          <w:sz w:val="20"/>
          <w:szCs w:val="20"/>
        </w:rPr>
        <w:t>brownfield</w:t>
      </w:r>
      <w:r w:rsidRPr="001231FB">
        <w:rPr>
          <w:rFonts w:ascii="Arial" w:hAnsi="Arial" w:cs="Arial"/>
          <w:sz w:val="20"/>
          <w:szCs w:val="20"/>
        </w:rPr>
        <w:t xml:space="preserve"> per poi lasciare il passo ad iniziative </w:t>
      </w:r>
      <w:r w:rsidR="0098172D" w:rsidRPr="001231FB">
        <w:rPr>
          <w:rFonts w:ascii="Arial" w:hAnsi="Arial" w:cs="Arial"/>
          <w:sz w:val="20"/>
          <w:szCs w:val="20"/>
        </w:rPr>
        <w:t xml:space="preserve">“late” </w:t>
      </w:r>
      <w:r w:rsidRPr="001231FB">
        <w:rPr>
          <w:rFonts w:ascii="Arial" w:hAnsi="Arial" w:cs="Arial"/>
          <w:i/>
          <w:iCs/>
          <w:sz w:val="20"/>
          <w:szCs w:val="20"/>
        </w:rPr>
        <w:t>greenfield</w:t>
      </w:r>
      <w:r w:rsidRPr="001231FB">
        <w:rPr>
          <w:rFonts w:ascii="Arial" w:hAnsi="Arial" w:cs="Arial"/>
          <w:sz w:val="20"/>
          <w:szCs w:val="20"/>
        </w:rPr>
        <w:t xml:space="preserve"> nella seconda fase del periodo di investimento</w:t>
      </w:r>
      <w:r w:rsidR="004E1804" w:rsidRPr="001231FB">
        <w:rPr>
          <w:rFonts w:ascii="Arial" w:hAnsi="Arial" w:cs="Arial"/>
          <w:sz w:val="20"/>
          <w:szCs w:val="20"/>
        </w:rPr>
        <w:t xml:space="preserve">, definite “late” perché </w:t>
      </w:r>
      <w:r w:rsidR="0098172D" w:rsidRPr="001231FB">
        <w:rPr>
          <w:rFonts w:ascii="Arial" w:hAnsi="Arial" w:cs="Arial"/>
          <w:sz w:val="20"/>
          <w:szCs w:val="20"/>
        </w:rPr>
        <w:t>pront</w:t>
      </w:r>
      <w:r w:rsidR="004E1804" w:rsidRPr="001231FB">
        <w:rPr>
          <w:rFonts w:ascii="Arial" w:hAnsi="Arial" w:cs="Arial"/>
          <w:sz w:val="20"/>
          <w:szCs w:val="20"/>
        </w:rPr>
        <w:t>e</w:t>
      </w:r>
      <w:r w:rsidR="0098172D" w:rsidRPr="001231FB">
        <w:rPr>
          <w:rFonts w:ascii="Arial" w:hAnsi="Arial" w:cs="Arial"/>
          <w:sz w:val="20"/>
          <w:szCs w:val="20"/>
        </w:rPr>
        <w:t xml:space="preserve"> per esser </w:t>
      </w:r>
      <w:r w:rsidR="004E1804" w:rsidRPr="001231FB">
        <w:rPr>
          <w:rFonts w:ascii="Arial" w:hAnsi="Arial" w:cs="Arial"/>
          <w:sz w:val="20"/>
          <w:szCs w:val="20"/>
        </w:rPr>
        <w:t>“</w:t>
      </w:r>
      <w:r w:rsidR="0098172D" w:rsidRPr="001231FB">
        <w:rPr>
          <w:rFonts w:ascii="Arial" w:hAnsi="Arial" w:cs="Arial"/>
          <w:sz w:val="20"/>
          <w:szCs w:val="20"/>
        </w:rPr>
        <w:t>cantierat</w:t>
      </w:r>
      <w:r w:rsidR="004E1804" w:rsidRPr="001231FB">
        <w:rPr>
          <w:rFonts w:ascii="Arial" w:hAnsi="Arial" w:cs="Arial"/>
          <w:sz w:val="20"/>
          <w:szCs w:val="20"/>
        </w:rPr>
        <w:t>e”</w:t>
      </w:r>
      <w:r w:rsidR="0098172D" w:rsidRPr="001231FB">
        <w:rPr>
          <w:rFonts w:ascii="Arial" w:hAnsi="Arial" w:cs="Arial"/>
          <w:sz w:val="20"/>
          <w:szCs w:val="20"/>
        </w:rPr>
        <w:t>, con iter amministrativo e autorizzativo già ampiamente finalizzato</w:t>
      </w:r>
    </w:p>
    <w:p w14:paraId="652B1F85" w14:textId="2212C213" w:rsidR="00F1766C" w:rsidRPr="001231FB" w:rsidRDefault="00AC4205" w:rsidP="000B034C">
      <w:pPr>
        <w:jc w:val="both"/>
        <w:rPr>
          <w:rFonts w:ascii="Arial" w:hAnsi="Arial" w:cs="Arial"/>
          <w:sz w:val="20"/>
          <w:szCs w:val="20"/>
        </w:rPr>
      </w:pPr>
      <w:r w:rsidRPr="001231FB">
        <w:rPr>
          <w:rFonts w:ascii="Arial" w:hAnsi="Arial" w:cs="Arial"/>
          <w:sz w:val="20"/>
          <w:szCs w:val="20"/>
        </w:rPr>
        <w:t>“</w:t>
      </w:r>
      <w:r w:rsidR="00F1766C" w:rsidRPr="001231FB">
        <w:rPr>
          <w:rFonts w:ascii="Arial" w:hAnsi="Arial" w:cs="Arial"/>
          <w:sz w:val="20"/>
          <w:szCs w:val="20"/>
        </w:rPr>
        <w:t xml:space="preserve">Ver Capital </w:t>
      </w:r>
      <w:r w:rsidRPr="001231FB">
        <w:rPr>
          <w:rFonts w:ascii="Arial" w:hAnsi="Arial" w:cs="Arial"/>
          <w:sz w:val="20"/>
          <w:szCs w:val="20"/>
        </w:rPr>
        <w:t xml:space="preserve">– dichiara l’amministratore delegato Andrea Pescatori - </w:t>
      </w:r>
      <w:r w:rsidR="00F1766C" w:rsidRPr="001231FB">
        <w:rPr>
          <w:rFonts w:ascii="Arial" w:hAnsi="Arial" w:cs="Arial"/>
          <w:sz w:val="20"/>
          <w:szCs w:val="20"/>
        </w:rPr>
        <w:t xml:space="preserve">ha unito le proprie esperienze di gestione alle competenze </w:t>
      </w:r>
      <w:r w:rsidR="007E092C" w:rsidRPr="001231FB">
        <w:rPr>
          <w:rFonts w:ascii="Arial" w:hAnsi="Arial" w:cs="Arial"/>
          <w:sz w:val="20"/>
          <w:szCs w:val="20"/>
        </w:rPr>
        <w:t>di</w:t>
      </w:r>
      <w:r w:rsidR="00F1766C" w:rsidRPr="001231FB">
        <w:rPr>
          <w:rFonts w:ascii="Arial" w:hAnsi="Arial" w:cs="Arial"/>
          <w:sz w:val="20"/>
          <w:szCs w:val="20"/>
        </w:rPr>
        <w:t xml:space="preserve"> Sinloc ne</w:t>
      </w:r>
      <w:r w:rsidR="0097471A" w:rsidRPr="001231FB">
        <w:rPr>
          <w:rFonts w:ascii="Arial" w:hAnsi="Arial" w:cs="Arial"/>
          <w:sz w:val="20"/>
          <w:szCs w:val="20"/>
        </w:rPr>
        <w:t>l</w:t>
      </w:r>
      <w:r w:rsidR="00F1766C" w:rsidRPr="001231FB">
        <w:rPr>
          <w:rFonts w:ascii="Arial" w:hAnsi="Arial" w:cs="Arial"/>
          <w:sz w:val="20"/>
          <w:szCs w:val="20"/>
        </w:rPr>
        <w:t>l</w:t>
      </w:r>
      <w:r w:rsidR="0097471A" w:rsidRPr="001231FB">
        <w:rPr>
          <w:rFonts w:ascii="Arial" w:hAnsi="Arial" w:cs="Arial"/>
          <w:sz w:val="20"/>
          <w:szCs w:val="20"/>
        </w:rPr>
        <w:t>’</w:t>
      </w:r>
      <w:r w:rsidR="00F1766C" w:rsidRPr="001231FB">
        <w:rPr>
          <w:rFonts w:ascii="Arial" w:hAnsi="Arial" w:cs="Arial"/>
          <w:sz w:val="20"/>
          <w:szCs w:val="20"/>
        </w:rPr>
        <w:t xml:space="preserve">energia, </w:t>
      </w:r>
      <w:r w:rsidR="007E092C" w:rsidRPr="001231FB">
        <w:rPr>
          <w:rFonts w:ascii="Arial" w:hAnsi="Arial" w:cs="Arial"/>
          <w:sz w:val="20"/>
          <w:szCs w:val="20"/>
        </w:rPr>
        <w:t>con u</w:t>
      </w:r>
      <w:r w:rsidR="0097471A" w:rsidRPr="001231FB">
        <w:rPr>
          <w:rFonts w:ascii="Arial" w:hAnsi="Arial" w:cs="Arial"/>
          <w:sz w:val="20"/>
          <w:szCs w:val="20"/>
        </w:rPr>
        <w:t xml:space="preserve">na proposta di </w:t>
      </w:r>
      <w:r w:rsidR="00F1766C" w:rsidRPr="001231FB">
        <w:rPr>
          <w:rFonts w:ascii="Arial" w:hAnsi="Arial" w:cs="Arial"/>
          <w:sz w:val="20"/>
          <w:szCs w:val="20"/>
        </w:rPr>
        <w:t xml:space="preserve">investimento innovativa </w:t>
      </w:r>
      <w:r w:rsidR="007E092C" w:rsidRPr="001231FB">
        <w:rPr>
          <w:rFonts w:ascii="Arial" w:hAnsi="Arial" w:cs="Arial"/>
          <w:sz w:val="20"/>
          <w:szCs w:val="20"/>
        </w:rPr>
        <w:t>che potrà generare investimenti fino ad un miliardo di euro</w:t>
      </w:r>
      <w:r w:rsidRPr="001231FB">
        <w:rPr>
          <w:rFonts w:ascii="Arial" w:hAnsi="Arial" w:cs="Arial"/>
          <w:sz w:val="20"/>
          <w:szCs w:val="20"/>
        </w:rPr>
        <w:t>”</w:t>
      </w:r>
      <w:r w:rsidR="007E092C" w:rsidRPr="001231FB">
        <w:rPr>
          <w:rFonts w:ascii="Arial" w:hAnsi="Arial" w:cs="Arial"/>
          <w:sz w:val="20"/>
          <w:szCs w:val="20"/>
        </w:rPr>
        <w:t>.</w:t>
      </w:r>
    </w:p>
    <w:p w14:paraId="42652BE6" w14:textId="60CE326E" w:rsidR="00AC4205" w:rsidRPr="001231FB" w:rsidRDefault="00AC4205" w:rsidP="000B034C">
      <w:pPr>
        <w:jc w:val="both"/>
        <w:rPr>
          <w:rFonts w:ascii="Arial" w:hAnsi="Arial" w:cs="Arial"/>
          <w:sz w:val="20"/>
          <w:szCs w:val="20"/>
        </w:rPr>
      </w:pPr>
      <w:r w:rsidRPr="001231FB">
        <w:rPr>
          <w:rFonts w:ascii="Arial" w:hAnsi="Arial" w:cs="Arial"/>
          <w:sz w:val="20"/>
          <w:szCs w:val="20"/>
        </w:rPr>
        <w:t>“Sinloc – afferma l’</w:t>
      </w:r>
      <w:r w:rsidR="0097471A" w:rsidRPr="001231FB">
        <w:rPr>
          <w:rFonts w:ascii="Arial" w:hAnsi="Arial" w:cs="Arial"/>
          <w:sz w:val="20"/>
          <w:szCs w:val="20"/>
        </w:rPr>
        <w:t>AD</w:t>
      </w:r>
      <w:r w:rsidRPr="001231FB">
        <w:rPr>
          <w:rFonts w:ascii="Arial" w:hAnsi="Arial" w:cs="Arial"/>
          <w:sz w:val="20"/>
          <w:szCs w:val="20"/>
        </w:rPr>
        <w:t xml:space="preserve"> Antonio Rigon – </w:t>
      </w:r>
      <w:r w:rsidR="007E092C" w:rsidRPr="001231FB">
        <w:rPr>
          <w:rFonts w:ascii="Arial" w:hAnsi="Arial" w:cs="Arial"/>
          <w:sz w:val="20"/>
          <w:szCs w:val="20"/>
        </w:rPr>
        <w:t>crede molto in q</w:t>
      </w:r>
      <w:r w:rsidRPr="001231FB">
        <w:rPr>
          <w:rFonts w:ascii="Arial" w:hAnsi="Arial" w:cs="Arial"/>
          <w:sz w:val="20"/>
          <w:szCs w:val="20"/>
        </w:rPr>
        <w:t xml:space="preserve">uesta </w:t>
      </w:r>
      <w:r w:rsidR="0097471A" w:rsidRPr="001231FB">
        <w:rPr>
          <w:rFonts w:ascii="Arial" w:hAnsi="Arial" w:cs="Arial"/>
          <w:sz w:val="20"/>
          <w:szCs w:val="20"/>
        </w:rPr>
        <w:t>iniziativa, che permetterà a</w:t>
      </w:r>
      <w:r w:rsidR="007E38AA">
        <w:rPr>
          <w:rFonts w:ascii="Arial" w:hAnsi="Arial" w:cs="Arial"/>
          <w:sz w:val="20"/>
          <w:szCs w:val="20"/>
        </w:rPr>
        <w:t>l Fondo</w:t>
      </w:r>
      <w:r w:rsidR="0097471A" w:rsidRPr="001231FB">
        <w:rPr>
          <w:rFonts w:ascii="Arial" w:hAnsi="Arial" w:cs="Arial"/>
          <w:sz w:val="20"/>
          <w:szCs w:val="20"/>
        </w:rPr>
        <w:t xml:space="preserve"> di utilizzare al meglio le nostre esperienze nazionali ed europee in campo energetico, ed al Paese di puntare ancor più sull’efficientamento energetico”.</w:t>
      </w:r>
    </w:p>
    <w:p w14:paraId="6971997F" w14:textId="7EF102CA" w:rsidR="0030524B" w:rsidRPr="0030524B" w:rsidRDefault="0030524B" w:rsidP="000B034C">
      <w:pPr>
        <w:spacing w:after="200" w:line="276" w:lineRule="auto"/>
        <w:jc w:val="both"/>
        <w:rPr>
          <w:rFonts w:ascii="Arial" w:eastAsia="Calibri" w:hAnsi="Arial" w:cs="Times New Roman"/>
          <w:sz w:val="16"/>
        </w:rPr>
      </w:pPr>
      <w:r w:rsidRPr="0030524B">
        <w:rPr>
          <w:rFonts w:ascii="Arial" w:eastAsia="Calibri" w:hAnsi="Arial" w:cs="Times New Roman"/>
          <w:sz w:val="16"/>
        </w:rPr>
        <w:t>Sinloc Spa – La Sistema Iniziative Locali è una società di consulenza e investimento che opera su tutto il territorio nazionale ed è attiva in Europa su progetti comunitari. Promuove lo sviluppo, soprattutto attraverso la realizzazione di infrastrutture locali, con consulenze e studi di fattibilità, con investimenti diretti in progetti di Partenariato Pubblico Privato e favorendo l’accesso e l’utilizzo efficace di fondi europei. Nella compagine azionaria sono presenti dieci tra le maggiori Fondazioni di origine bancaria.</w:t>
      </w:r>
    </w:p>
    <w:p w14:paraId="461A9BFE" w14:textId="77777777" w:rsidR="0030524B" w:rsidRPr="0030524B" w:rsidRDefault="0030524B" w:rsidP="000B034C">
      <w:pPr>
        <w:spacing w:after="200" w:line="276" w:lineRule="auto"/>
        <w:jc w:val="both"/>
        <w:rPr>
          <w:rFonts w:ascii="Arial" w:hAnsi="Arial"/>
          <w:sz w:val="16"/>
        </w:rPr>
      </w:pPr>
      <w:r w:rsidRPr="0030524B">
        <w:rPr>
          <w:rFonts w:ascii="Arial" w:eastAsia="Calibri" w:hAnsi="Arial" w:cs="Times New Roman"/>
          <w:sz w:val="16"/>
        </w:rPr>
        <w:t>Ver Capital Sgr – E’ una società di gestione indipendente, focalizzata sul mercato del corporate credit europeo. Opera con il proprio team di gestori specializzati attraverso una piattaforma di fondi aperti ed una di fondi chiusi.  In Ver Capital le diverse linee di gestione hanno sempre alla base una profonda conoscenza dei fondamentali delle aziende in cui investe e degli asset che acquista. Gli investitori sono diversificati ed includono banche, compagnie di assicurazione, fondi pensione, fondazioni family office e fondi di fondi.</w:t>
      </w:r>
    </w:p>
    <w:sectPr w:rsidR="0030524B" w:rsidRPr="00305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6C"/>
    <w:rsid w:val="00094E00"/>
    <w:rsid w:val="000B034C"/>
    <w:rsid w:val="001231FB"/>
    <w:rsid w:val="0020237D"/>
    <w:rsid w:val="00204659"/>
    <w:rsid w:val="002677DB"/>
    <w:rsid w:val="00287B96"/>
    <w:rsid w:val="002D5E72"/>
    <w:rsid w:val="002E05FC"/>
    <w:rsid w:val="0030524B"/>
    <w:rsid w:val="00334E02"/>
    <w:rsid w:val="0038295F"/>
    <w:rsid w:val="00391309"/>
    <w:rsid w:val="00436368"/>
    <w:rsid w:val="00457D57"/>
    <w:rsid w:val="004E1804"/>
    <w:rsid w:val="00563084"/>
    <w:rsid w:val="005F0981"/>
    <w:rsid w:val="006B3A6E"/>
    <w:rsid w:val="006F4B00"/>
    <w:rsid w:val="007314F0"/>
    <w:rsid w:val="007E092C"/>
    <w:rsid w:val="007E38AA"/>
    <w:rsid w:val="0097471A"/>
    <w:rsid w:val="0098172D"/>
    <w:rsid w:val="00990BEA"/>
    <w:rsid w:val="009931EA"/>
    <w:rsid w:val="009A4AB9"/>
    <w:rsid w:val="00A35D87"/>
    <w:rsid w:val="00AC4205"/>
    <w:rsid w:val="00CC5485"/>
    <w:rsid w:val="00E4258C"/>
    <w:rsid w:val="00EC09B7"/>
    <w:rsid w:val="00ED7C63"/>
    <w:rsid w:val="00F1766C"/>
    <w:rsid w:val="00F40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92F7"/>
  <w15:chartTrackingRefBased/>
  <w15:docId w15:val="{2EF9F752-8EB3-4A8E-8550-86896FDD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F0981"/>
    <w:rPr>
      <w:sz w:val="16"/>
      <w:szCs w:val="16"/>
    </w:rPr>
  </w:style>
  <w:style w:type="paragraph" w:styleId="Testocommento">
    <w:name w:val="annotation text"/>
    <w:basedOn w:val="Normale"/>
    <w:link w:val="TestocommentoCarattere"/>
    <w:uiPriority w:val="99"/>
    <w:semiHidden/>
    <w:unhideWhenUsed/>
    <w:rsid w:val="005F09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0981"/>
    <w:rPr>
      <w:sz w:val="20"/>
      <w:szCs w:val="20"/>
    </w:rPr>
  </w:style>
  <w:style w:type="paragraph" w:styleId="Soggettocommento">
    <w:name w:val="annotation subject"/>
    <w:basedOn w:val="Testocommento"/>
    <w:next w:val="Testocommento"/>
    <w:link w:val="SoggettocommentoCarattere"/>
    <w:uiPriority w:val="99"/>
    <w:semiHidden/>
    <w:unhideWhenUsed/>
    <w:rsid w:val="005F0981"/>
    <w:rPr>
      <w:b/>
      <w:bCs/>
    </w:rPr>
  </w:style>
  <w:style w:type="character" w:customStyle="1" w:styleId="SoggettocommentoCarattere">
    <w:name w:val="Soggetto commento Carattere"/>
    <w:basedOn w:val="TestocommentoCarattere"/>
    <w:link w:val="Soggettocommento"/>
    <w:uiPriority w:val="99"/>
    <w:semiHidden/>
    <w:rsid w:val="005F0981"/>
    <w:rPr>
      <w:b/>
      <w:bCs/>
      <w:sz w:val="20"/>
      <w:szCs w:val="20"/>
    </w:rPr>
  </w:style>
  <w:style w:type="paragraph" w:styleId="Testofumetto">
    <w:name w:val="Balloon Text"/>
    <w:basedOn w:val="Normale"/>
    <w:link w:val="TestofumettoCarattere"/>
    <w:uiPriority w:val="99"/>
    <w:semiHidden/>
    <w:unhideWhenUsed/>
    <w:rsid w:val="005F09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0981"/>
    <w:rPr>
      <w:rFonts w:ascii="Segoe UI" w:hAnsi="Segoe UI" w:cs="Segoe UI"/>
      <w:sz w:val="18"/>
      <w:szCs w:val="18"/>
    </w:rPr>
  </w:style>
  <w:style w:type="paragraph" w:styleId="Revisione">
    <w:name w:val="Revision"/>
    <w:hidden/>
    <w:uiPriority w:val="99"/>
    <w:semiHidden/>
    <w:rsid w:val="000B0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C76A-7AC8-48D1-B16B-2F5100BB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671</Words>
  <Characters>3827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Edoardo Bus</cp:lastModifiedBy>
  <cp:revision>3</cp:revision>
  <dcterms:created xsi:type="dcterms:W3CDTF">2022-07-11T07:57:00Z</dcterms:created>
  <dcterms:modified xsi:type="dcterms:W3CDTF">2022-07-12T09:42:00Z</dcterms:modified>
</cp:coreProperties>
</file>