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C8DC" w14:textId="77777777" w:rsidR="00437AA9" w:rsidRDefault="00437AA9"/>
    <w:p w14:paraId="41567617" w14:textId="77777777" w:rsidR="00A517F4" w:rsidRDefault="00A517F4" w:rsidP="00AC01DF">
      <w:pPr>
        <w:pStyle w:val="Corpo"/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0EB59B14" w14:textId="7C6788E8" w:rsidR="00AC01DF" w:rsidRPr="00AC01DF" w:rsidRDefault="00AC01DF" w:rsidP="00AC01DF">
      <w:pPr>
        <w:pStyle w:val="Corp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AC01DF">
        <w:rPr>
          <w:rFonts w:ascii="Segoe UI" w:hAnsi="Segoe UI" w:cs="Segoe UI"/>
          <w:b/>
          <w:bCs/>
          <w:sz w:val="28"/>
          <w:szCs w:val="28"/>
        </w:rPr>
        <w:t>XII Congresso NPL&amp;UTP di Alma Iura</w:t>
      </w:r>
      <w:r w:rsidR="00836B20">
        <w:rPr>
          <w:rFonts w:ascii="Segoe UI" w:hAnsi="Segoe UI" w:cs="Segoe UI"/>
          <w:b/>
          <w:bCs/>
          <w:sz w:val="28"/>
          <w:szCs w:val="28"/>
        </w:rPr>
        <w:t xml:space="preserve"> -</w:t>
      </w:r>
      <w:r w:rsidRPr="00AC01DF">
        <w:rPr>
          <w:rFonts w:ascii="Segoe UI" w:hAnsi="Segoe UI" w:cs="Segoe UI"/>
          <w:b/>
          <w:bCs/>
          <w:sz w:val="28"/>
          <w:szCs w:val="28"/>
        </w:rPr>
        <w:t xml:space="preserve"> Comunicato </w:t>
      </w:r>
      <w:r w:rsidR="00836B20">
        <w:rPr>
          <w:rFonts w:ascii="Segoe UI" w:hAnsi="Segoe UI" w:cs="Segoe UI"/>
          <w:b/>
          <w:bCs/>
          <w:sz w:val="28"/>
          <w:szCs w:val="28"/>
        </w:rPr>
        <w:t>s</w:t>
      </w:r>
      <w:r w:rsidRPr="00AC01DF">
        <w:rPr>
          <w:rFonts w:ascii="Segoe UI" w:hAnsi="Segoe UI" w:cs="Segoe UI"/>
          <w:b/>
          <w:bCs/>
          <w:sz w:val="28"/>
          <w:szCs w:val="28"/>
        </w:rPr>
        <w:t>tampa</w:t>
      </w:r>
    </w:p>
    <w:p w14:paraId="680AFC58" w14:textId="77777777" w:rsidR="00AC01DF" w:rsidRPr="00AC01DF" w:rsidRDefault="00AC01DF" w:rsidP="00AC01DF">
      <w:pPr>
        <w:pStyle w:val="Corpo"/>
        <w:rPr>
          <w:rFonts w:ascii="Segoe UI" w:hAnsi="Segoe UI" w:cs="Segoe UI"/>
          <w:sz w:val="20"/>
          <w:szCs w:val="20"/>
        </w:rPr>
      </w:pPr>
    </w:p>
    <w:p w14:paraId="087FB103" w14:textId="7CBB6410" w:rsidR="00AC01DF" w:rsidRPr="00AC01DF" w:rsidRDefault="00AC01DF" w:rsidP="00AC01DF">
      <w:pPr>
        <w:pStyle w:val="Corpo"/>
        <w:jc w:val="both"/>
        <w:rPr>
          <w:rFonts w:ascii="Segoe UI" w:hAnsi="Segoe UI" w:cs="Segoe UI"/>
          <w:sz w:val="20"/>
          <w:szCs w:val="20"/>
        </w:rPr>
      </w:pPr>
      <w:r w:rsidRPr="00AC01DF">
        <w:rPr>
          <w:rFonts w:ascii="Segoe UI" w:hAnsi="Segoe UI" w:cs="Segoe UI"/>
          <w:sz w:val="20"/>
          <w:szCs w:val="20"/>
        </w:rPr>
        <w:t xml:space="preserve">Negli ultimi tre anni (2022-2024) l’industria italiana dei credit </w:t>
      </w:r>
      <w:proofErr w:type="spellStart"/>
      <w:r w:rsidRPr="00AC01DF">
        <w:rPr>
          <w:rFonts w:ascii="Segoe UI" w:hAnsi="Segoe UI" w:cs="Segoe UI"/>
          <w:sz w:val="20"/>
          <w:szCs w:val="20"/>
        </w:rPr>
        <w:t>servicer</w:t>
      </w:r>
      <w:proofErr w:type="spellEnd"/>
      <w:r w:rsidRPr="00AC01DF">
        <w:rPr>
          <w:rFonts w:ascii="Segoe UI" w:hAnsi="Segoe UI" w:cs="Segoe UI"/>
          <w:sz w:val="20"/>
          <w:szCs w:val="20"/>
        </w:rPr>
        <w:t xml:space="preserve"> ha visto in media decrescere del 3% la propria marginalità operativa, contenendo, pertanto, gli effetti della forte riduzione di nuovi flussi di crediti problematici in arrivo dal settore bancario. Il dato emerge dal primo</w:t>
      </w:r>
      <w:r w:rsidR="00836B20">
        <w:rPr>
          <w:rFonts w:ascii="Segoe UI" w:hAnsi="Segoe UI" w:cs="Segoe UI"/>
          <w:sz w:val="20"/>
          <w:szCs w:val="20"/>
          <w:lang w:val="fr-FR"/>
        </w:rPr>
        <w:t xml:space="preserve"> «</w:t>
      </w:r>
      <w:r w:rsidRPr="00AC01DF">
        <w:rPr>
          <w:rFonts w:ascii="Segoe UI" w:hAnsi="Segoe UI" w:cs="Segoe UI"/>
          <w:sz w:val="20"/>
          <w:szCs w:val="20"/>
        </w:rPr>
        <w:t>Studio italiano sulle Non-</w:t>
      </w:r>
      <w:proofErr w:type="spellStart"/>
      <w:r w:rsidRPr="00AC01DF">
        <w:rPr>
          <w:rFonts w:ascii="Segoe UI" w:hAnsi="Segoe UI" w:cs="Segoe UI"/>
          <w:sz w:val="20"/>
          <w:szCs w:val="20"/>
        </w:rPr>
        <w:t>Performing</w:t>
      </w:r>
      <w:proofErr w:type="spellEnd"/>
      <w:r w:rsidRPr="00AC01D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C01DF">
        <w:rPr>
          <w:rFonts w:ascii="Segoe UI" w:hAnsi="Segoe UI" w:cs="Segoe UI"/>
          <w:sz w:val="20"/>
          <w:szCs w:val="20"/>
        </w:rPr>
        <w:t>Exposures</w:t>
      </w:r>
      <w:proofErr w:type="spellEnd"/>
      <w:r w:rsidRPr="00AC01DF">
        <w:rPr>
          <w:rFonts w:ascii="Segoe UI" w:hAnsi="Segoe UI" w:cs="Segoe UI"/>
          <w:sz w:val="20"/>
          <w:szCs w:val="20"/>
        </w:rPr>
        <w:t>» (SINPE), presentato a Verona al XII “Congresso NPL&amp;UTP” promosso dal Centro Studi Alma Iura.</w:t>
      </w:r>
    </w:p>
    <w:p w14:paraId="25B668ED" w14:textId="3BFAAD6D" w:rsidR="00AC01DF" w:rsidRPr="00AC01DF" w:rsidRDefault="00AC01DF" w:rsidP="00AC01DF">
      <w:pPr>
        <w:pStyle w:val="Corpo"/>
        <w:jc w:val="both"/>
        <w:rPr>
          <w:rFonts w:ascii="Segoe UI" w:hAnsi="Segoe UI" w:cs="Segoe UI"/>
          <w:sz w:val="20"/>
          <w:szCs w:val="20"/>
        </w:rPr>
      </w:pPr>
      <w:r w:rsidRPr="00AC01DF">
        <w:rPr>
          <w:rFonts w:ascii="Segoe UI" w:hAnsi="Segoe UI" w:cs="Segoe UI"/>
          <w:sz w:val="20"/>
          <w:szCs w:val="20"/>
        </w:rPr>
        <w:t xml:space="preserve">Il report, frutto di una survey alla quale ha preso parte circa il 90% del mercato italiano del credit </w:t>
      </w:r>
      <w:proofErr w:type="spellStart"/>
      <w:r w:rsidRPr="00AC01DF">
        <w:rPr>
          <w:rFonts w:ascii="Segoe UI" w:hAnsi="Segoe UI" w:cs="Segoe UI"/>
          <w:sz w:val="20"/>
          <w:szCs w:val="20"/>
        </w:rPr>
        <w:t>servicing</w:t>
      </w:r>
      <w:proofErr w:type="spellEnd"/>
      <w:r w:rsidRPr="00AC01DF">
        <w:rPr>
          <w:rFonts w:ascii="Segoe UI" w:hAnsi="Segoe UI" w:cs="Segoe UI"/>
          <w:sz w:val="20"/>
          <w:szCs w:val="20"/>
        </w:rPr>
        <w:t xml:space="preserve">, è stato ideato da Alma Iura con la collaborazione tecnica di EY </w:t>
      </w:r>
      <w:proofErr w:type="spellStart"/>
      <w:r w:rsidRPr="00AC01DF">
        <w:rPr>
          <w:rFonts w:ascii="Segoe UI" w:hAnsi="Segoe UI" w:cs="Segoe UI"/>
          <w:sz w:val="20"/>
          <w:szCs w:val="20"/>
        </w:rPr>
        <w:t>Parthenon</w:t>
      </w:r>
      <w:proofErr w:type="spellEnd"/>
      <w:r w:rsidRPr="00AC01DF">
        <w:rPr>
          <w:rFonts w:ascii="Segoe UI" w:hAnsi="Segoe UI" w:cs="Segoe UI"/>
          <w:sz w:val="20"/>
          <w:szCs w:val="20"/>
        </w:rPr>
        <w:t xml:space="preserve">. Guardando alla capacità di recuperare i crediti ottenuti in gestione - un ammontare che nel complesso è stimato in circa 300 miliardi - nel triennio 2022-2024 le performance risultano in significativa crescita per le esposizioni assistite da garanzie pubbliche, al 9,1% nel comparto </w:t>
      </w:r>
      <w:proofErr w:type="spellStart"/>
      <w:r w:rsidRPr="00AC01DF">
        <w:rPr>
          <w:rFonts w:ascii="Segoe UI" w:hAnsi="Segoe UI" w:cs="Segoe UI"/>
          <w:sz w:val="20"/>
          <w:szCs w:val="20"/>
        </w:rPr>
        <w:t>Unlikely</w:t>
      </w:r>
      <w:proofErr w:type="spellEnd"/>
      <w:r w:rsidRPr="00AC01DF">
        <w:rPr>
          <w:rFonts w:ascii="Segoe UI" w:hAnsi="Segoe UI" w:cs="Segoe UI"/>
          <w:sz w:val="20"/>
          <w:szCs w:val="20"/>
        </w:rPr>
        <w:t xml:space="preserve"> To </w:t>
      </w:r>
      <w:proofErr w:type="spellStart"/>
      <w:r w:rsidRPr="00AC01DF">
        <w:rPr>
          <w:rFonts w:ascii="Segoe UI" w:hAnsi="Segoe UI" w:cs="Segoe UI"/>
          <w:sz w:val="20"/>
          <w:szCs w:val="20"/>
        </w:rPr>
        <w:t>Pay</w:t>
      </w:r>
      <w:proofErr w:type="spellEnd"/>
      <w:r w:rsidRPr="00AC01DF">
        <w:rPr>
          <w:rFonts w:ascii="Segoe UI" w:hAnsi="Segoe UI" w:cs="Segoe UI"/>
          <w:sz w:val="20"/>
          <w:szCs w:val="20"/>
        </w:rPr>
        <w:t xml:space="preserve"> (UTP) e al 4,4% in quello dei Non </w:t>
      </w:r>
      <w:proofErr w:type="spellStart"/>
      <w:r w:rsidRPr="00AC01DF">
        <w:rPr>
          <w:rFonts w:ascii="Segoe UI" w:hAnsi="Segoe UI" w:cs="Segoe UI"/>
          <w:sz w:val="20"/>
          <w:szCs w:val="20"/>
        </w:rPr>
        <w:t>Performing</w:t>
      </w:r>
      <w:proofErr w:type="spellEnd"/>
      <w:r w:rsidRPr="00AC01D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C01DF">
        <w:rPr>
          <w:rFonts w:ascii="Segoe UI" w:hAnsi="Segoe UI" w:cs="Segoe UI"/>
          <w:sz w:val="20"/>
          <w:szCs w:val="20"/>
        </w:rPr>
        <w:t>Loans</w:t>
      </w:r>
      <w:proofErr w:type="spellEnd"/>
      <w:r w:rsidRPr="00AC01DF">
        <w:rPr>
          <w:rFonts w:ascii="Segoe UI" w:hAnsi="Segoe UI" w:cs="Segoe UI"/>
          <w:sz w:val="20"/>
          <w:szCs w:val="20"/>
        </w:rPr>
        <w:t xml:space="preserve"> (NPL). Nei segmenti dei crediti non coperti dall’ombrello pubblico</w:t>
      </w:r>
      <w:r w:rsidR="00836B20">
        <w:rPr>
          <w:rFonts w:ascii="Segoe UI" w:hAnsi="Segoe UI" w:cs="Segoe UI"/>
          <w:sz w:val="20"/>
          <w:szCs w:val="20"/>
        </w:rPr>
        <w:t>,</w:t>
      </w:r>
      <w:r w:rsidRPr="00AC01DF">
        <w:rPr>
          <w:rFonts w:ascii="Segoe UI" w:hAnsi="Segoe UI" w:cs="Segoe UI"/>
          <w:sz w:val="20"/>
          <w:szCs w:val="20"/>
        </w:rPr>
        <w:t xml:space="preserve"> il recupero di quelli UTP appare in decrescita al 7,3% mentre è in leggero miglioramento al 4,5% per gli NPL </w:t>
      </w:r>
      <w:proofErr w:type="spellStart"/>
      <w:r w:rsidRPr="00AC01DF">
        <w:rPr>
          <w:rFonts w:ascii="Segoe UI" w:hAnsi="Segoe UI" w:cs="Segoe UI"/>
          <w:sz w:val="20"/>
          <w:szCs w:val="20"/>
        </w:rPr>
        <w:t>secured</w:t>
      </w:r>
      <w:proofErr w:type="spellEnd"/>
      <w:r w:rsidRPr="00AC01DF">
        <w:rPr>
          <w:rFonts w:ascii="Segoe UI" w:hAnsi="Segoe UI" w:cs="Segoe UI"/>
          <w:sz w:val="20"/>
          <w:szCs w:val="20"/>
        </w:rPr>
        <w:t xml:space="preserve">. </w:t>
      </w:r>
    </w:p>
    <w:p w14:paraId="61E425B6" w14:textId="0C676442" w:rsidR="00AC01DF" w:rsidRPr="00AC01DF" w:rsidRDefault="00AC01DF" w:rsidP="00AC01DF">
      <w:pPr>
        <w:pStyle w:val="Corpo"/>
        <w:jc w:val="both"/>
        <w:rPr>
          <w:rFonts w:ascii="Segoe UI" w:hAnsi="Segoe UI" w:cs="Segoe UI"/>
          <w:sz w:val="20"/>
          <w:szCs w:val="20"/>
        </w:rPr>
      </w:pPr>
      <w:r w:rsidRPr="00AC01DF">
        <w:rPr>
          <w:rFonts w:ascii="Segoe UI" w:hAnsi="Segoe UI" w:cs="Segoe UI"/>
          <w:sz w:val="20"/>
          <w:szCs w:val="20"/>
          <w:rtl/>
          <w:lang w:val="ar-SA"/>
        </w:rPr>
        <w:t>“</w:t>
      </w:r>
      <w:r w:rsidRPr="00AC01DF">
        <w:rPr>
          <w:rFonts w:ascii="Segoe UI" w:hAnsi="Segoe UI" w:cs="Segoe UI"/>
          <w:sz w:val="20"/>
          <w:szCs w:val="20"/>
        </w:rPr>
        <w:t xml:space="preserve">Il settore dei crediti deteriorati, in Italia, sta attraversando una fase di transizione - ha commentato </w:t>
      </w:r>
      <w:r w:rsidRPr="00AC01DF">
        <w:rPr>
          <w:rFonts w:ascii="Segoe UI" w:hAnsi="Segoe UI" w:cs="Segoe UI"/>
          <w:b/>
          <w:bCs/>
          <w:sz w:val="20"/>
          <w:szCs w:val="20"/>
        </w:rPr>
        <w:t xml:space="preserve">Michele Thea, </w:t>
      </w:r>
      <w:r w:rsidR="00C64EAE">
        <w:rPr>
          <w:rFonts w:ascii="Segoe UI" w:hAnsi="Segoe UI" w:cs="Segoe UI"/>
          <w:b/>
          <w:bCs/>
          <w:sz w:val="20"/>
          <w:szCs w:val="20"/>
        </w:rPr>
        <w:t>P</w:t>
      </w:r>
      <w:r w:rsidRPr="00AC01DF">
        <w:rPr>
          <w:rFonts w:ascii="Segoe UI" w:hAnsi="Segoe UI" w:cs="Segoe UI"/>
          <w:b/>
          <w:bCs/>
          <w:sz w:val="20"/>
          <w:szCs w:val="20"/>
        </w:rPr>
        <w:t>artner EY, Europe West N</w:t>
      </w:r>
      <w:r w:rsidR="00C64EAE">
        <w:rPr>
          <w:rFonts w:ascii="Segoe UI" w:hAnsi="Segoe UI" w:cs="Segoe UI"/>
          <w:b/>
          <w:bCs/>
          <w:sz w:val="20"/>
          <w:szCs w:val="20"/>
        </w:rPr>
        <w:t>PE</w:t>
      </w:r>
      <w:r w:rsidRPr="00AC01DF">
        <w:rPr>
          <w:rFonts w:ascii="Segoe UI" w:hAnsi="Segoe UI" w:cs="Segoe UI"/>
          <w:b/>
          <w:bCs/>
          <w:sz w:val="20"/>
          <w:szCs w:val="20"/>
        </w:rPr>
        <w:t xml:space="preserve"> Leader</w:t>
      </w:r>
      <w:r w:rsidRPr="00AC01DF">
        <w:rPr>
          <w:rFonts w:ascii="Segoe UI" w:hAnsi="Segoe UI" w:cs="Segoe UI"/>
          <w:sz w:val="20"/>
          <w:szCs w:val="20"/>
        </w:rPr>
        <w:t xml:space="preserve"> - Circa il 75% degli operatori intervistati prevede nuovi flussi stabili o in diminuzione, mentre la contrazione della marginalità</w:t>
      </w:r>
      <w:r w:rsidRPr="00AC01DF">
        <w:rPr>
          <w:rFonts w:ascii="Segoe UI" w:hAnsi="Segoe UI" w:cs="Segoe UI"/>
          <w:sz w:val="20"/>
          <w:szCs w:val="20"/>
          <w:lang w:val="fr-FR"/>
        </w:rPr>
        <w:t>, l</w:t>
      </w:r>
      <w:r w:rsidRPr="00AC01DF">
        <w:rPr>
          <w:rFonts w:ascii="Segoe UI" w:hAnsi="Segoe UI" w:cs="Segoe UI"/>
          <w:sz w:val="20"/>
          <w:szCs w:val="20"/>
          <w:rtl/>
        </w:rPr>
        <w:t>’</w:t>
      </w:r>
      <w:r w:rsidRPr="00AC01DF">
        <w:rPr>
          <w:rFonts w:ascii="Segoe UI" w:hAnsi="Segoe UI" w:cs="Segoe UI"/>
          <w:sz w:val="20"/>
          <w:szCs w:val="20"/>
        </w:rPr>
        <w:t xml:space="preserve">automazione dei processi e il consolidamento del settore sono percepiti come i principali fattori di impatto nei prossimi mesi. In questo scenario, la collaborazione tra </w:t>
      </w:r>
      <w:proofErr w:type="spellStart"/>
      <w:r w:rsidRPr="00AC01DF">
        <w:rPr>
          <w:rFonts w:ascii="Segoe UI" w:hAnsi="Segoe UI" w:cs="Segoe UI"/>
          <w:sz w:val="20"/>
          <w:szCs w:val="20"/>
        </w:rPr>
        <w:t>servicer</w:t>
      </w:r>
      <w:proofErr w:type="spellEnd"/>
      <w:r w:rsidRPr="00AC01DF">
        <w:rPr>
          <w:rFonts w:ascii="Segoe UI" w:hAnsi="Segoe UI" w:cs="Segoe UI"/>
          <w:sz w:val="20"/>
          <w:szCs w:val="20"/>
        </w:rPr>
        <w:t xml:space="preserve"> e </w:t>
      </w:r>
      <w:proofErr w:type="spellStart"/>
      <w:r w:rsidRPr="00AC01DF">
        <w:rPr>
          <w:rFonts w:ascii="Segoe UI" w:hAnsi="Segoe UI" w:cs="Segoe UI"/>
          <w:sz w:val="20"/>
          <w:szCs w:val="20"/>
        </w:rPr>
        <w:t>borrower</w:t>
      </w:r>
      <w:proofErr w:type="spellEnd"/>
      <w:r w:rsidRPr="00AC01DF">
        <w:rPr>
          <w:rFonts w:ascii="Segoe UI" w:hAnsi="Segoe UI" w:cs="Segoe UI"/>
          <w:sz w:val="20"/>
          <w:szCs w:val="20"/>
        </w:rPr>
        <w:t>, l</w:t>
      </w:r>
      <w:r w:rsidRPr="00AC01DF">
        <w:rPr>
          <w:rFonts w:ascii="Segoe UI" w:hAnsi="Segoe UI" w:cs="Segoe UI"/>
          <w:sz w:val="20"/>
          <w:szCs w:val="20"/>
          <w:rtl/>
        </w:rPr>
        <w:t>’</w:t>
      </w:r>
      <w:r w:rsidRPr="00AC01DF">
        <w:rPr>
          <w:rFonts w:ascii="Segoe UI" w:hAnsi="Segoe UI" w:cs="Segoe UI"/>
          <w:sz w:val="20"/>
          <w:szCs w:val="20"/>
        </w:rPr>
        <w:t>accesso a nuova finanza e la valorizzazione delle competenze settoriali emergono come elementi chiave per affrontare le sfide future e sostenere la crescita del mercato”.</w:t>
      </w:r>
    </w:p>
    <w:p w14:paraId="08879A40" w14:textId="1BEAB1B6" w:rsidR="00AC01DF" w:rsidRPr="00282449" w:rsidRDefault="00AC01DF" w:rsidP="00AC01DF">
      <w:pPr>
        <w:pStyle w:val="Corpo"/>
        <w:jc w:val="both"/>
        <w:rPr>
          <w:rFonts w:ascii="Segoe UI" w:hAnsi="Segoe UI" w:cs="Segoe UI"/>
          <w:sz w:val="20"/>
          <w:szCs w:val="20"/>
        </w:rPr>
      </w:pPr>
      <w:r w:rsidRPr="00282449">
        <w:rPr>
          <w:rFonts w:ascii="Segoe UI" w:hAnsi="Segoe UI" w:cs="Segoe UI"/>
          <w:sz w:val="20"/>
          <w:szCs w:val="20"/>
        </w:rPr>
        <w:t xml:space="preserve">Nel corso del convegno sono state illustrate le strategie che i credit </w:t>
      </w:r>
      <w:proofErr w:type="spellStart"/>
      <w:r w:rsidRPr="00282449">
        <w:rPr>
          <w:rFonts w:ascii="Segoe UI" w:hAnsi="Segoe UI" w:cs="Segoe UI"/>
          <w:sz w:val="20"/>
          <w:szCs w:val="20"/>
        </w:rPr>
        <w:t>servicer</w:t>
      </w:r>
      <w:proofErr w:type="spellEnd"/>
      <w:r w:rsidRPr="00282449">
        <w:rPr>
          <w:rFonts w:ascii="Segoe UI" w:hAnsi="Segoe UI" w:cs="Segoe UI"/>
          <w:sz w:val="20"/>
          <w:szCs w:val="20"/>
        </w:rPr>
        <w:t xml:space="preserve"> stanno mettendo in atto per crescere nel nuovo e più sfidante scenario operativo. </w:t>
      </w:r>
      <w:r w:rsidRPr="00282449">
        <w:rPr>
          <w:rFonts w:ascii="Segoe UI" w:hAnsi="Segoe UI" w:cs="Segoe UI"/>
          <w:sz w:val="20"/>
          <w:szCs w:val="20"/>
          <w:lang w:val="en-US"/>
        </w:rPr>
        <w:t xml:space="preserve">“Siamo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un’industria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viva e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reattiva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- ha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sottolineato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in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particolare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</w:t>
      </w:r>
      <w:r w:rsidRPr="00282449">
        <w:rPr>
          <w:rFonts w:ascii="Segoe UI" w:hAnsi="Segoe UI" w:cs="Segoe UI"/>
          <w:b/>
          <w:bCs/>
          <w:sz w:val="20"/>
          <w:szCs w:val="20"/>
          <w:lang w:val="en-US"/>
        </w:rPr>
        <w:t xml:space="preserve">Giovanni Gilli, Presidente del </w:t>
      </w:r>
      <w:proofErr w:type="spellStart"/>
      <w:r w:rsidRPr="00282449">
        <w:rPr>
          <w:rFonts w:ascii="Segoe UI" w:hAnsi="Segoe UI" w:cs="Segoe UI"/>
          <w:b/>
          <w:bCs/>
          <w:sz w:val="20"/>
          <w:szCs w:val="20"/>
          <w:lang w:val="en-US"/>
        </w:rPr>
        <w:t>Comitato</w:t>
      </w:r>
      <w:proofErr w:type="spellEnd"/>
      <w:r w:rsidRPr="00282449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proofErr w:type="spellStart"/>
      <w:r w:rsidRPr="00282449">
        <w:rPr>
          <w:rFonts w:ascii="Segoe UI" w:hAnsi="Segoe UI" w:cs="Segoe UI"/>
          <w:b/>
          <w:bCs/>
          <w:sz w:val="20"/>
          <w:szCs w:val="20"/>
          <w:lang w:val="en-US"/>
        </w:rPr>
        <w:t>scientifico</w:t>
      </w:r>
      <w:proofErr w:type="spellEnd"/>
      <w:r w:rsidRPr="00282449">
        <w:rPr>
          <w:rFonts w:ascii="Segoe UI" w:hAnsi="Segoe UI" w:cs="Segoe UI"/>
          <w:b/>
          <w:bCs/>
          <w:sz w:val="20"/>
          <w:szCs w:val="20"/>
          <w:lang w:val="en-US"/>
        </w:rPr>
        <w:t xml:space="preserve"> del </w:t>
      </w:r>
      <w:proofErr w:type="spellStart"/>
      <w:r w:rsidRPr="00282449">
        <w:rPr>
          <w:rFonts w:ascii="Segoe UI" w:hAnsi="Segoe UI" w:cs="Segoe UI"/>
          <w:b/>
          <w:bCs/>
          <w:sz w:val="20"/>
          <w:szCs w:val="20"/>
          <w:lang w:val="en-US"/>
        </w:rPr>
        <w:t>Congresso</w:t>
      </w:r>
      <w:proofErr w:type="spellEnd"/>
      <w:r w:rsidRPr="00282449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r w:rsidRPr="00282449">
        <w:rPr>
          <w:rFonts w:ascii="Segoe UI" w:hAnsi="Segoe UI" w:cs="Segoe UI"/>
          <w:sz w:val="20"/>
          <w:szCs w:val="20"/>
          <w:lang w:val="en-US"/>
        </w:rPr>
        <w:t xml:space="preserve">-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Vogliamo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allargare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le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nostre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competenze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,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consci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del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ruolo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e della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responsabilità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che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abbiamo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nella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difesa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e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protezione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del nostro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sistema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economico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. Non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stiamo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gestendo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la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nuova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stagione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in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chiave</w:t>
      </w:r>
      <w:proofErr w:type="spellEnd"/>
      <w:r w:rsidRPr="00282449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282449">
        <w:rPr>
          <w:rFonts w:ascii="Segoe UI" w:hAnsi="Segoe UI" w:cs="Segoe UI"/>
          <w:sz w:val="20"/>
          <w:szCs w:val="20"/>
          <w:lang w:val="en-US"/>
        </w:rPr>
        <w:t>difensiva</w:t>
      </w:r>
      <w:proofErr w:type="spellEnd"/>
      <w:r w:rsidR="00282449" w:rsidRPr="00282449">
        <w:rPr>
          <w:rFonts w:ascii="Segoe UI" w:hAnsi="Segoe UI" w:cs="Segoe UI"/>
          <w:sz w:val="20"/>
          <w:szCs w:val="20"/>
        </w:rPr>
        <w:t xml:space="preserve"> ma attraverso iniziative di carattere strategico e strutturale, tra </w:t>
      </w:r>
      <w:r w:rsidR="00474171">
        <w:rPr>
          <w:rFonts w:ascii="Segoe UI" w:hAnsi="Segoe UI" w:cs="Segoe UI"/>
          <w:sz w:val="20"/>
          <w:szCs w:val="20"/>
        </w:rPr>
        <w:t>le quali</w:t>
      </w:r>
      <w:r w:rsidR="00282449" w:rsidRPr="00282449">
        <w:rPr>
          <w:rFonts w:ascii="Segoe UI" w:hAnsi="Segoe UI" w:cs="Segoe UI"/>
          <w:sz w:val="20"/>
          <w:szCs w:val="20"/>
        </w:rPr>
        <w:t xml:space="preserve"> l’internazionalizzazione, il consolidamento, l'allargamento del business, l’applicazione trasformativa di nuove tecnologie</w:t>
      </w:r>
      <w:r w:rsidR="004F45FC">
        <w:rPr>
          <w:rFonts w:ascii="Segoe UI" w:hAnsi="Segoe UI" w:cs="Segoe UI"/>
          <w:sz w:val="20"/>
          <w:szCs w:val="20"/>
        </w:rPr>
        <w:t xml:space="preserve"> e</w:t>
      </w:r>
      <w:r w:rsidR="00282449" w:rsidRPr="00282449">
        <w:rPr>
          <w:rFonts w:ascii="Segoe UI" w:hAnsi="Segoe UI" w:cs="Segoe UI"/>
          <w:sz w:val="20"/>
          <w:szCs w:val="20"/>
        </w:rPr>
        <w:t xml:space="preserve"> nuove forme di collaborazione tra pubblico e privato”</w:t>
      </w:r>
      <w:r w:rsidRPr="00282449">
        <w:rPr>
          <w:rFonts w:ascii="Segoe UI" w:hAnsi="Segoe UI" w:cs="Segoe UI"/>
          <w:sz w:val="20"/>
          <w:szCs w:val="20"/>
          <w:lang w:val="en-US"/>
        </w:rPr>
        <w:t>.</w:t>
      </w:r>
    </w:p>
    <w:p w14:paraId="553548A3" w14:textId="504CC680" w:rsidR="00AC01DF" w:rsidRPr="00AC01DF" w:rsidRDefault="00AC01DF" w:rsidP="00AC01DF">
      <w:pPr>
        <w:pStyle w:val="Corpo"/>
        <w:jc w:val="both"/>
        <w:rPr>
          <w:rFonts w:ascii="Segoe UI" w:hAnsi="Segoe UI" w:cs="Segoe UI"/>
          <w:sz w:val="20"/>
          <w:szCs w:val="20"/>
        </w:rPr>
      </w:pPr>
      <w:r w:rsidRPr="00836B20">
        <w:rPr>
          <w:rFonts w:ascii="Segoe UI" w:hAnsi="Segoe UI" w:cs="Segoe UI"/>
          <w:sz w:val="20"/>
          <w:szCs w:val="20"/>
        </w:rPr>
        <w:t xml:space="preserve">Particolarmente approfondita nel corso delle conferenze è stata la tematica dei crediti erogati dal settore bancario assistiti da garanzie pubbliche, sulla quale è intervenuto </w:t>
      </w:r>
      <w:r w:rsidRPr="00836B20">
        <w:rPr>
          <w:rFonts w:ascii="Segoe UI" w:hAnsi="Segoe UI" w:cs="Segoe UI"/>
          <w:b/>
          <w:bCs/>
          <w:sz w:val="20"/>
          <w:szCs w:val="20"/>
        </w:rPr>
        <w:t>Francesco Minotti, Amministratore Delegato di M</w:t>
      </w:r>
      <w:r w:rsidR="00C64EAE" w:rsidRPr="00836B20">
        <w:rPr>
          <w:rFonts w:ascii="Segoe UI" w:hAnsi="Segoe UI" w:cs="Segoe UI"/>
          <w:b/>
          <w:bCs/>
          <w:sz w:val="20"/>
          <w:szCs w:val="20"/>
        </w:rPr>
        <w:t>ediocredito Centrale</w:t>
      </w:r>
      <w:r w:rsidRPr="00836B20">
        <w:rPr>
          <w:rFonts w:ascii="Segoe UI" w:hAnsi="Segoe UI" w:cs="Segoe UI"/>
          <w:sz w:val="20"/>
          <w:szCs w:val="20"/>
        </w:rPr>
        <w:t xml:space="preserve">. In prospettiva c’è la possibilità che una parte più consistente di quei portafogli finiscano in gestione al settore dei credit </w:t>
      </w:r>
      <w:proofErr w:type="spellStart"/>
      <w:r w:rsidRPr="00836B20">
        <w:rPr>
          <w:rFonts w:ascii="Segoe UI" w:hAnsi="Segoe UI" w:cs="Segoe UI"/>
          <w:sz w:val="20"/>
          <w:szCs w:val="20"/>
        </w:rPr>
        <w:t>servicer</w:t>
      </w:r>
      <w:proofErr w:type="spellEnd"/>
      <w:r w:rsidRPr="00836B20">
        <w:rPr>
          <w:rFonts w:ascii="Segoe UI" w:hAnsi="Segoe UI" w:cs="Segoe UI"/>
          <w:sz w:val="20"/>
          <w:szCs w:val="20"/>
        </w:rPr>
        <w:t xml:space="preserve">. Così come, per effetto di una norma della prossima legge di bilancio appena approvata dal </w:t>
      </w:r>
      <w:proofErr w:type="gramStart"/>
      <w:r w:rsidRPr="00836B20">
        <w:rPr>
          <w:rFonts w:ascii="Segoe UI" w:hAnsi="Segoe UI" w:cs="Segoe UI"/>
          <w:sz w:val="20"/>
          <w:szCs w:val="20"/>
        </w:rPr>
        <w:t>Consiglio dei Ministri</w:t>
      </w:r>
      <w:proofErr w:type="gramEnd"/>
      <w:r w:rsidRPr="00836B20">
        <w:rPr>
          <w:rFonts w:ascii="Segoe UI" w:hAnsi="Segoe UI" w:cs="Segoe UI"/>
          <w:sz w:val="20"/>
          <w:szCs w:val="20"/>
        </w:rPr>
        <w:t>, una maggiore quota di crediti degli enti locali (un portafoglio valutato complessivamente in circa 42 miliardi) potrebbe essere affidata agli operatori privati.</w:t>
      </w:r>
      <w:r w:rsidRPr="00AC01DF">
        <w:rPr>
          <w:rFonts w:ascii="Segoe UI" w:hAnsi="Segoe UI" w:cs="Segoe UI"/>
          <w:sz w:val="20"/>
          <w:szCs w:val="20"/>
        </w:rPr>
        <w:t xml:space="preserve"> Della collaborazione tra pubblico e privati ha parlato anche </w:t>
      </w:r>
      <w:r w:rsidRPr="00AC01DF">
        <w:rPr>
          <w:rFonts w:ascii="Segoe UI" w:hAnsi="Segoe UI" w:cs="Segoe UI"/>
          <w:b/>
          <w:bCs/>
          <w:sz w:val="20"/>
          <w:szCs w:val="20"/>
        </w:rPr>
        <w:t>Federico Freni, Sottosegretario al Ministero dell’Economia,</w:t>
      </w:r>
      <w:r w:rsidRPr="00AC01DF">
        <w:rPr>
          <w:rFonts w:ascii="Segoe UI" w:hAnsi="Segoe UI" w:cs="Segoe UI"/>
          <w:sz w:val="20"/>
          <w:szCs w:val="20"/>
        </w:rPr>
        <w:t xml:space="preserve"> in un messaggio inviato sul palco.</w:t>
      </w:r>
    </w:p>
    <w:p w14:paraId="783088AD" w14:textId="0D075D6D" w:rsidR="00AC01DF" w:rsidRPr="00AC01DF" w:rsidRDefault="00AC01DF" w:rsidP="00AC01DF">
      <w:pPr>
        <w:pStyle w:val="Corpo"/>
        <w:jc w:val="both"/>
        <w:rPr>
          <w:rFonts w:ascii="Segoe UI" w:hAnsi="Segoe UI" w:cs="Segoe UI"/>
          <w:sz w:val="20"/>
          <w:szCs w:val="20"/>
        </w:rPr>
      </w:pPr>
      <w:r w:rsidRPr="00AC01DF">
        <w:rPr>
          <w:rFonts w:ascii="Segoe UI" w:hAnsi="Segoe UI" w:cs="Segoe UI"/>
          <w:b/>
          <w:bCs/>
          <w:sz w:val="20"/>
          <w:szCs w:val="20"/>
        </w:rPr>
        <w:t>Giuseppe Castagna, Amministratore Delegato del Gruppo Banco Bpm</w:t>
      </w:r>
      <w:r w:rsidRPr="00AC01DF">
        <w:rPr>
          <w:rFonts w:ascii="Segoe UI" w:hAnsi="Segoe UI" w:cs="Segoe UI"/>
          <w:sz w:val="20"/>
          <w:szCs w:val="20"/>
        </w:rPr>
        <w:t>, ha approfondito le tematiche legate al consolidamento in corso nel settore bancario e si è espresso con moderato ottimismo sulla congiuntura economica. Ciò che serve - ha spiegato - è “spingere sull</w:t>
      </w:r>
      <w:r>
        <w:rPr>
          <w:rFonts w:ascii="Segoe UI" w:hAnsi="Segoe UI" w:cs="Segoe UI"/>
          <w:sz w:val="20"/>
          <w:szCs w:val="20"/>
        </w:rPr>
        <w:t>’</w:t>
      </w:r>
      <w:r w:rsidRPr="00AC01DF">
        <w:rPr>
          <w:rFonts w:ascii="Segoe UI" w:hAnsi="Segoe UI" w:cs="Segoe UI"/>
          <w:sz w:val="20"/>
          <w:szCs w:val="20"/>
        </w:rPr>
        <w:t>acceleratore in un contesto ancora positivo”.</w:t>
      </w:r>
    </w:p>
    <w:p w14:paraId="78F85186" w14:textId="2852F9CA" w:rsidR="00AC01DF" w:rsidRPr="00AC01DF" w:rsidRDefault="00AC01DF" w:rsidP="00AC01DF">
      <w:pPr>
        <w:pStyle w:val="Corpo"/>
        <w:jc w:val="both"/>
        <w:rPr>
          <w:rFonts w:ascii="Segoe UI" w:hAnsi="Segoe UI" w:cs="Segoe UI"/>
          <w:sz w:val="20"/>
          <w:szCs w:val="20"/>
        </w:rPr>
      </w:pPr>
      <w:r w:rsidRPr="00AC01DF">
        <w:rPr>
          <w:rFonts w:ascii="Segoe UI" w:hAnsi="Segoe UI" w:cs="Segoe UI"/>
          <w:sz w:val="20"/>
          <w:szCs w:val="20"/>
        </w:rPr>
        <w:t>Concludendo i lavori</w:t>
      </w:r>
      <w:r w:rsidR="00836B20">
        <w:rPr>
          <w:rFonts w:ascii="Segoe UI" w:hAnsi="Segoe UI" w:cs="Segoe UI"/>
          <w:sz w:val="20"/>
          <w:szCs w:val="20"/>
        </w:rPr>
        <w:t>,</w:t>
      </w:r>
      <w:r w:rsidRPr="00AC01DF">
        <w:rPr>
          <w:rFonts w:ascii="Segoe UI" w:hAnsi="Segoe UI" w:cs="Segoe UI"/>
          <w:sz w:val="20"/>
          <w:szCs w:val="20"/>
        </w:rPr>
        <w:t xml:space="preserve"> </w:t>
      </w:r>
      <w:r w:rsidRPr="00AC01DF">
        <w:rPr>
          <w:rFonts w:ascii="Segoe UI" w:hAnsi="Segoe UI" w:cs="Segoe UI"/>
          <w:b/>
          <w:bCs/>
          <w:sz w:val="20"/>
          <w:szCs w:val="20"/>
        </w:rPr>
        <w:t>Marco Rossi, Presidente del Comitato scientifico di Alma Iura</w:t>
      </w:r>
      <w:r w:rsidRPr="00AC01DF">
        <w:rPr>
          <w:rFonts w:ascii="Segoe UI" w:hAnsi="Segoe UI" w:cs="Segoe UI"/>
          <w:sz w:val="20"/>
          <w:szCs w:val="20"/>
        </w:rPr>
        <w:t xml:space="preserve"> ha detto che “La nuova sfida per l’industria del credit </w:t>
      </w:r>
      <w:proofErr w:type="spellStart"/>
      <w:r w:rsidRPr="00AC01DF">
        <w:rPr>
          <w:rFonts w:ascii="Segoe UI" w:hAnsi="Segoe UI" w:cs="Segoe UI"/>
          <w:sz w:val="20"/>
          <w:szCs w:val="20"/>
        </w:rPr>
        <w:t>servicing</w:t>
      </w:r>
      <w:proofErr w:type="spellEnd"/>
      <w:r w:rsidRPr="00AC01DF">
        <w:rPr>
          <w:rFonts w:ascii="Segoe UI" w:hAnsi="Segoe UI" w:cs="Segoe UI"/>
          <w:sz w:val="20"/>
          <w:szCs w:val="20"/>
        </w:rPr>
        <w:t xml:space="preserve"> è quella di mantenere l’eccellenza raggiunta nel proprio core business, cercando però anche nuovi spazi di collaborazione con il mondo bancario”.</w:t>
      </w:r>
    </w:p>
    <w:p w14:paraId="0A21FC09" w14:textId="77777777" w:rsidR="00437AA9" w:rsidRPr="001065A9" w:rsidRDefault="00437AA9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5A81796D" w14:textId="77777777" w:rsidR="00437AA9" w:rsidRPr="001065A9" w:rsidRDefault="00437AA9">
      <w:pPr>
        <w:tabs>
          <w:tab w:val="center" w:pos="4819"/>
          <w:tab w:val="right" w:pos="9612"/>
        </w:tabs>
        <w:spacing w:line="276" w:lineRule="auto"/>
        <w:rPr>
          <w:rFonts w:ascii="Segoe UI" w:eastAsia="Segoe UI" w:hAnsi="Segoe UI" w:cs="Segoe UI"/>
          <w:sz w:val="18"/>
          <w:szCs w:val="18"/>
        </w:rPr>
      </w:pPr>
    </w:p>
    <w:p w14:paraId="0395E9AC" w14:textId="77777777" w:rsidR="00437AA9" w:rsidRPr="001065A9" w:rsidRDefault="00AB380C">
      <w:pPr>
        <w:jc w:val="both"/>
        <w:rPr>
          <w:rFonts w:ascii="Segoe UI" w:eastAsia="Segoe UI" w:hAnsi="Segoe UI" w:cs="Segoe UI"/>
          <w:sz w:val="20"/>
          <w:szCs w:val="20"/>
        </w:rPr>
      </w:pPr>
      <w:r w:rsidRPr="001065A9">
        <w:rPr>
          <w:rFonts w:ascii="Segoe UI" w:eastAsia="Segoe UI" w:hAnsi="Segoe UI" w:cs="Segoe UI"/>
          <w:sz w:val="20"/>
          <w:szCs w:val="20"/>
        </w:rPr>
        <w:t xml:space="preserve">Press office: </w:t>
      </w:r>
    </w:p>
    <w:p w14:paraId="293214FF" w14:textId="77777777" w:rsidR="00437AA9" w:rsidRPr="001065A9" w:rsidRDefault="00437AA9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015C463E" w14:textId="77777777" w:rsidR="00437AA9" w:rsidRPr="001065A9" w:rsidRDefault="00AB380C">
      <w:pPr>
        <w:jc w:val="both"/>
        <w:rPr>
          <w:rFonts w:ascii="Segoe UI" w:eastAsia="Segoe UI" w:hAnsi="Segoe UI" w:cs="Segoe UI"/>
          <w:sz w:val="20"/>
          <w:szCs w:val="20"/>
        </w:rPr>
      </w:pPr>
      <w:r w:rsidRPr="001065A9">
        <w:rPr>
          <w:rFonts w:ascii="Segoe UI" w:eastAsia="Segoe UI" w:hAnsi="Segoe UI" w:cs="Segoe UI"/>
          <w:sz w:val="20"/>
          <w:szCs w:val="20"/>
        </w:rPr>
        <w:t xml:space="preserve">Riccardo Sabbatini </w:t>
      </w:r>
    </w:p>
    <w:p w14:paraId="4BFF7690" w14:textId="77777777" w:rsidR="00437AA9" w:rsidRPr="001065A9" w:rsidRDefault="00AB380C">
      <w:pPr>
        <w:jc w:val="both"/>
        <w:rPr>
          <w:rFonts w:ascii="Segoe UI" w:eastAsia="Segoe UI" w:hAnsi="Segoe UI" w:cs="Segoe UI"/>
          <w:sz w:val="20"/>
          <w:szCs w:val="20"/>
        </w:rPr>
      </w:pPr>
      <w:r w:rsidRPr="001065A9">
        <w:rPr>
          <w:rFonts w:ascii="Segoe UI" w:eastAsia="Segoe UI" w:hAnsi="Segoe UI" w:cs="Segoe UI"/>
          <w:sz w:val="20"/>
          <w:szCs w:val="20"/>
        </w:rPr>
        <w:t>Mob. 335/56.48.446  </w:t>
      </w:r>
    </w:p>
    <w:p w14:paraId="22745B71" w14:textId="77777777" w:rsidR="00437AA9" w:rsidRPr="001065A9" w:rsidRDefault="00AB380C">
      <w:pPr>
        <w:jc w:val="both"/>
        <w:rPr>
          <w:rFonts w:ascii="Segoe UI" w:eastAsia="Segoe UI" w:hAnsi="Segoe UI" w:cs="Segoe UI"/>
          <w:sz w:val="20"/>
          <w:szCs w:val="20"/>
          <w:lang w:val="en-US"/>
        </w:rPr>
      </w:pPr>
      <w:r w:rsidRPr="001065A9">
        <w:rPr>
          <w:rFonts w:ascii="Segoe UI" w:eastAsia="Segoe UI" w:hAnsi="Segoe UI" w:cs="Segoe UI"/>
          <w:sz w:val="20"/>
          <w:szCs w:val="20"/>
          <w:lang w:val="en-US"/>
        </w:rPr>
        <w:t>riccardo.sabbatini@azulcommunication.com</w:t>
      </w:r>
    </w:p>
    <w:p w14:paraId="4F1612A0" w14:textId="1CD55AAB" w:rsidR="00AB380C" w:rsidRPr="001065A9" w:rsidRDefault="00AB380C">
      <w:pPr>
        <w:jc w:val="both"/>
        <w:rPr>
          <w:rFonts w:ascii="Segoe UI" w:eastAsia="Segoe UI" w:hAnsi="Segoe UI" w:cs="Segoe UI"/>
          <w:sz w:val="20"/>
          <w:szCs w:val="20"/>
          <w:lang w:val="en-US"/>
        </w:rPr>
      </w:pPr>
      <w:r w:rsidRPr="00836B20">
        <w:rPr>
          <w:rFonts w:ascii="Segoe UI" w:eastAsia="Segoe UI" w:hAnsi="Segoe UI" w:cs="Segoe UI"/>
          <w:sz w:val="20"/>
          <w:szCs w:val="20"/>
          <w:lang w:val="en-US"/>
        </w:rPr>
        <w:t xml:space="preserve">Azul Communication </w:t>
      </w:r>
      <w:proofErr w:type="spellStart"/>
      <w:r w:rsidRPr="00836B20">
        <w:rPr>
          <w:rFonts w:ascii="Segoe UI" w:eastAsia="Segoe UI" w:hAnsi="Segoe UI" w:cs="Segoe UI"/>
          <w:sz w:val="20"/>
          <w:szCs w:val="20"/>
          <w:lang w:val="en-US"/>
        </w:rPr>
        <w:t>srls</w:t>
      </w:r>
      <w:proofErr w:type="spellEnd"/>
    </w:p>
    <w:p w14:paraId="3269C8B0" w14:textId="77777777" w:rsidR="00437AA9" w:rsidRPr="001065A9" w:rsidRDefault="00437AA9">
      <w:pPr>
        <w:jc w:val="both"/>
        <w:rPr>
          <w:rFonts w:ascii="Segoe UI" w:eastAsia="Segoe UI" w:hAnsi="Segoe UI" w:cs="Segoe UI"/>
          <w:sz w:val="20"/>
          <w:szCs w:val="20"/>
          <w:lang w:val="en-US"/>
        </w:rPr>
      </w:pPr>
    </w:p>
    <w:p w14:paraId="15F195A1" w14:textId="77777777" w:rsidR="00AC01DF" w:rsidRDefault="00AC01DF">
      <w:pPr>
        <w:jc w:val="both"/>
        <w:rPr>
          <w:rFonts w:ascii="Segoe UI" w:eastAsia="Segoe UI" w:hAnsi="Segoe UI" w:cs="Segoe UI"/>
          <w:b/>
          <w:bCs/>
          <w:i/>
          <w:iCs/>
          <w:sz w:val="20"/>
          <w:szCs w:val="20"/>
        </w:rPr>
      </w:pPr>
      <w:bookmarkStart w:id="0" w:name="_Hlk178175133"/>
    </w:p>
    <w:p w14:paraId="2E712677" w14:textId="77777777" w:rsidR="00AC01DF" w:rsidRDefault="00AC01DF">
      <w:pPr>
        <w:jc w:val="both"/>
        <w:rPr>
          <w:rFonts w:ascii="Segoe UI" w:eastAsia="Segoe UI" w:hAnsi="Segoe UI" w:cs="Segoe UI"/>
          <w:b/>
          <w:bCs/>
          <w:i/>
          <w:iCs/>
          <w:sz w:val="20"/>
          <w:szCs w:val="20"/>
        </w:rPr>
      </w:pPr>
    </w:p>
    <w:p w14:paraId="1F44C78E" w14:textId="7005ED65" w:rsidR="00437AA9" w:rsidRPr="001065A9" w:rsidRDefault="00AB380C">
      <w:pPr>
        <w:jc w:val="both"/>
        <w:rPr>
          <w:rFonts w:ascii="Segoe UI" w:hAnsi="Segoe UI" w:cs="Segoe UI"/>
          <w:sz w:val="28"/>
          <w:szCs w:val="28"/>
        </w:rPr>
      </w:pPr>
      <w:r w:rsidRPr="001065A9">
        <w:rPr>
          <w:rFonts w:ascii="Segoe UI" w:eastAsia="Segoe UI" w:hAnsi="Segoe UI" w:cs="Segoe UI"/>
          <w:b/>
          <w:bCs/>
          <w:i/>
          <w:iCs/>
          <w:sz w:val="20"/>
          <w:szCs w:val="20"/>
        </w:rPr>
        <w:t>Alma Iura</w:t>
      </w:r>
      <w:r w:rsidRPr="001065A9">
        <w:rPr>
          <w:rFonts w:ascii="Segoe UI" w:eastAsia="Segoe UI" w:hAnsi="Segoe UI" w:cs="Segoe UI"/>
          <w:i/>
          <w:iCs/>
          <w:sz w:val="20"/>
          <w:szCs w:val="20"/>
        </w:rPr>
        <w:t xml:space="preserve"> nasce nel 2005 a Verona e svolge la propria attività di consulenza tecnico-matematica e in materia di grafologia forense a istituti di credito e finanziari nell’ambito del diritto bancario, operando su tutto il territorio nazionale. Con la divisione AIRD - Alma Iura </w:t>
      </w:r>
      <w:proofErr w:type="spellStart"/>
      <w:r w:rsidRPr="001065A9">
        <w:rPr>
          <w:rFonts w:ascii="Segoe UI" w:eastAsia="Segoe UI" w:hAnsi="Segoe UI" w:cs="Segoe UI"/>
          <w:i/>
          <w:iCs/>
          <w:sz w:val="20"/>
          <w:szCs w:val="20"/>
        </w:rPr>
        <w:t>Research</w:t>
      </w:r>
      <w:proofErr w:type="spellEnd"/>
      <w:r w:rsidRPr="001065A9">
        <w:rPr>
          <w:rFonts w:ascii="Segoe UI" w:eastAsia="Segoe UI" w:hAnsi="Segoe UI" w:cs="Segoe UI"/>
          <w:i/>
          <w:iCs/>
          <w:sz w:val="20"/>
          <w:szCs w:val="20"/>
        </w:rPr>
        <w:t xml:space="preserve"> &amp; Development, si dedica all’automazione e all’efficientamento dei processi aziendali. Il costante aggiornamento giurisprudenziale è garantito dalla supervisione del proprio Comitato scientifico composto da esperti del settore. Dal 2013 Alma Iura è ideatrice e organizzatrice del Congresso internazionale di Giurimetria, Banca e Finanza NPL&amp;UTP, uno dei principali eventi italiani del settore del credito.</w:t>
      </w:r>
      <w:bookmarkEnd w:id="0"/>
    </w:p>
    <w:sectPr w:rsidR="00437AA9" w:rsidRPr="001065A9" w:rsidSect="00A517F4">
      <w:headerReference w:type="default" r:id="rId6"/>
      <w:footerReference w:type="default" r:id="rId7"/>
      <w:pgSz w:w="11900" w:h="16840"/>
      <w:pgMar w:top="1418" w:right="1134" w:bottom="1134" w:left="1134" w:header="227" w:footer="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D54E" w14:textId="77777777" w:rsidR="00553610" w:rsidRDefault="00553610">
      <w:r>
        <w:separator/>
      </w:r>
    </w:p>
  </w:endnote>
  <w:endnote w:type="continuationSeparator" w:id="0">
    <w:p w14:paraId="7C7E38B3" w14:textId="77777777" w:rsidR="00553610" w:rsidRDefault="0055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5B34" w14:textId="77777777" w:rsidR="00437AA9" w:rsidRDefault="00437AA9">
    <w:pPr>
      <w:pStyle w:val="Pidipagina"/>
      <w:pBdr>
        <w:bottom w:val="single" w:sz="12" w:space="0" w:color="000000"/>
      </w:pBdr>
      <w:tabs>
        <w:tab w:val="clear" w:pos="9638"/>
        <w:tab w:val="right" w:pos="9612"/>
      </w:tabs>
      <w:jc w:val="center"/>
      <w:rPr>
        <w:rFonts w:ascii="Lao UI" w:eastAsia="Lao UI" w:hAnsi="Lao UI" w:cs="Lao UI"/>
        <w:sz w:val="16"/>
        <w:szCs w:val="16"/>
      </w:rPr>
    </w:pPr>
  </w:p>
  <w:p w14:paraId="12ECAE44" w14:textId="77777777" w:rsidR="00A517F4" w:rsidRDefault="00A517F4">
    <w:pPr>
      <w:pStyle w:val="Pidipagina"/>
      <w:tabs>
        <w:tab w:val="clear" w:pos="9638"/>
        <w:tab w:val="right" w:pos="9612"/>
      </w:tabs>
      <w:jc w:val="center"/>
      <w:rPr>
        <w:rFonts w:ascii="Lao UI" w:eastAsia="Lao UI" w:hAnsi="Lao UI" w:cs="Lao UI"/>
        <w:sz w:val="16"/>
        <w:szCs w:val="16"/>
      </w:rPr>
    </w:pPr>
  </w:p>
  <w:p w14:paraId="4CC2D97E" w14:textId="70D76939" w:rsidR="00437AA9" w:rsidRDefault="00AB380C">
    <w:pPr>
      <w:pStyle w:val="Pidipagina"/>
      <w:tabs>
        <w:tab w:val="clear" w:pos="9638"/>
        <w:tab w:val="right" w:pos="9612"/>
      </w:tabs>
      <w:jc w:val="center"/>
      <w:rPr>
        <w:rFonts w:ascii="Lao UI" w:eastAsia="Lao UI" w:hAnsi="Lao UI" w:cs="Lao UI"/>
        <w:sz w:val="16"/>
        <w:szCs w:val="16"/>
      </w:rPr>
    </w:pPr>
    <w:r>
      <w:rPr>
        <w:rFonts w:ascii="Lao UI" w:eastAsia="Lao UI" w:hAnsi="Lao UI" w:cs="Lao UI"/>
        <w:sz w:val="16"/>
        <w:szCs w:val="16"/>
      </w:rPr>
      <w:t>NPL&amp;UTP è un evento ideato</w:t>
    </w:r>
  </w:p>
  <w:p w14:paraId="6A1E9D7F" w14:textId="77777777" w:rsidR="00437AA9" w:rsidRDefault="00AB380C">
    <w:pPr>
      <w:pStyle w:val="Pidipagina"/>
      <w:tabs>
        <w:tab w:val="clear" w:pos="9638"/>
        <w:tab w:val="right" w:pos="9612"/>
      </w:tabs>
      <w:jc w:val="center"/>
      <w:rPr>
        <w:rFonts w:ascii="Lao UI" w:eastAsia="Lao UI" w:hAnsi="Lao UI" w:cs="Lao UI"/>
        <w:sz w:val="16"/>
        <w:szCs w:val="16"/>
      </w:rPr>
    </w:pPr>
    <w:r>
      <w:rPr>
        <w:rFonts w:ascii="Lao UI" w:eastAsia="Lao UI" w:hAnsi="Lao UI" w:cs="Lao UI"/>
        <w:sz w:val="16"/>
        <w:szCs w:val="16"/>
      </w:rPr>
      <w:t xml:space="preserve">da Centro Studi Alma Iura </w:t>
    </w:r>
    <w:proofErr w:type="spellStart"/>
    <w:r>
      <w:rPr>
        <w:rFonts w:ascii="Lao UI" w:eastAsia="Lao UI" w:hAnsi="Lao UI" w:cs="Lao UI"/>
        <w:sz w:val="16"/>
        <w:szCs w:val="16"/>
      </w:rPr>
      <w:t>srl</w:t>
    </w:r>
    <w:proofErr w:type="spellEnd"/>
    <w:r>
      <w:rPr>
        <w:rFonts w:ascii="Lao UI" w:eastAsia="Lao UI" w:hAnsi="Lao UI" w:cs="Lao UI"/>
        <w:sz w:val="16"/>
        <w:szCs w:val="16"/>
      </w:rPr>
      <w:t xml:space="preserve"> S.B.</w:t>
    </w:r>
  </w:p>
  <w:p w14:paraId="338D1277" w14:textId="77777777" w:rsidR="00437AA9" w:rsidRDefault="00AB380C">
    <w:pPr>
      <w:pStyle w:val="Pidipagina"/>
      <w:tabs>
        <w:tab w:val="clear" w:pos="9638"/>
        <w:tab w:val="right" w:pos="9612"/>
      </w:tabs>
      <w:jc w:val="center"/>
    </w:pPr>
    <w:r>
      <w:rPr>
        <w:rFonts w:ascii="Lao UI" w:eastAsia="Lao UI" w:hAnsi="Lao UI" w:cs="Lao UI"/>
        <w:sz w:val="16"/>
        <w:szCs w:val="16"/>
      </w:rPr>
      <w:t>Matematica e Diritto per Banche e Istituti Finanziari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3A1B" w14:textId="77777777" w:rsidR="00553610" w:rsidRDefault="00553610">
      <w:r>
        <w:separator/>
      </w:r>
    </w:p>
  </w:footnote>
  <w:footnote w:type="continuationSeparator" w:id="0">
    <w:p w14:paraId="15CF6090" w14:textId="77777777" w:rsidR="00553610" w:rsidRDefault="00553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1A4F" w14:textId="77777777" w:rsidR="00437AA9" w:rsidRDefault="00437AA9">
    <w:pPr>
      <w:pStyle w:val="Intestazione"/>
      <w:tabs>
        <w:tab w:val="clear" w:pos="9638"/>
        <w:tab w:val="right" w:pos="9612"/>
      </w:tabs>
      <w:jc w:val="right"/>
      <w:rPr>
        <w:rFonts w:ascii="Calibri" w:hAnsi="Calibri"/>
      </w:rPr>
    </w:pPr>
  </w:p>
  <w:p w14:paraId="22861D12" w14:textId="77777777" w:rsidR="00437AA9" w:rsidRDefault="00AB380C">
    <w:pPr>
      <w:pStyle w:val="Intestazione"/>
      <w:tabs>
        <w:tab w:val="clear" w:pos="4819"/>
        <w:tab w:val="clear" w:pos="9638"/>
        <w:tab w:val="center" w:pos="4816"/>
        <w:tab w:val="right" w:pos="9612"/>
      </w:tabs>
    </w:pPr>
    <w:r>
      <w:rPr>
        <w:rFonts w:ascii="Calibri" w:hAnsi="Calibri"/>
        <w:b/>
        <w:bCs/>
        <w:noProof/>
        <w:sz w:val="44"/>
        <w:szCs w:val="44"/>
      </w:rPr>
      <w:drawing>
        <wp:inline distT="0" distB="0" distL="0" distR="0" wp14:anchorId="1DA83D58" wp14:editId="5A461642">
          <wp:extent cx="2009775" cy="571500"/>
          <wp:effectExtent l="0" t="0" r="0" b="0"/>
          <wp:docPr id="1757710419" name="officeArt object" descr="Elemento grafic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lemento grafico 1" descr="Elemento grafico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571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alibri" w:hAnsi="Calibri"/>
        <w:noProof/>
      </w:rPr>
      <w:drawing>
        <wp:inline distT="0" distB="0" distL="0" distR="0" wp14:anchorId="4DD0D225" wp14:editId="5F1AAC0F">
          <wp:extent cx="950595" cy="574892"/>
          <wp:effectExtent l="0" t="0" r="0" b="0"/>
          <wp:docPr id="1714304294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" descr="Immagine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0595" cy="5748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A9"/>
    <w:rsid w:val="001065A9"/>
    <w:rsid w:val="001D501C"/>
    <w:rsid w:val="0025417F"/>
    <w:rsid w:val="00282449"/>
    <w:rsid w:val="00300459"/>
    <w:rsid w:val="003A3441"/>
    <w:rsid w:val="00437AA9"/>
    <w:rsid w:val="00440AA1"/>
    <w:rsid w:val="00474171"/>
    <w:rsid w:val="004F45FC"/>
    <w:rsid w:val="00553610"/>
    <w:rsid w:val="00576BDF"/>
    <w:rsid w:val="005E117B"/>
    <w:rsid w:val="006304F5"/>
    <w:rsid w:val="00682288"/>
    <w:rsid w:val="00836B20"/>
    <w:rsid w:val="0085202C"/>
    <w:rsid w:val="0094188A"/>
    <w:rsid w:val="00992087"/>
    <w:rsid w:val="00A13753"/>
    <w:rsid w:val="00A517F4"/>
    <w:rsid w:val="00AB380C"/>
    <w:rsid w:val="00AC01DF"/>
    <w:rsid w:val="00B80928"/>
    <w:rsid w:val="00C64EAE"/>
    <w:rsid w:val="00D83447"/>
    <w:rsid w:val="00E771D5"/>
    <w:rsid w:val="00F0024A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48B1B"/>
  <w15:docId w15:val="{6B78D812-A589-4825-9AB4-9BF0C021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Schoolbook" w:eastAsia="Century Schoolbook" w:hAnsi="Century Schoolbook" w:cs="Century Schoolbook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entury Schoolbook" w:hAnsi="Century Schoolbook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entury Schoolbook" w:hAnsi="Century Schoolbook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Segoe UI" w:eastAsia="Segoe UI" w:hAnsi="Segoe UI" w:cs="Segoe UI"/>
      <w:outline w:val="0"/>
      <w:color w:val="0000FF"/>
      <w:sz w:val="18"/>
      <w:szCs w:val="18"/>
      <w:u w:val="single" w:color="0000FF"/>
    </w:rPr>
  </w:style>
  <w:style w:type="paragraph" w:customStyle="1" w:styleId="Corpo">
    <w:name w:val="Corpo"/>
    <w:rsid w:val="00AC01DF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Giona - Centro Studi Alma iura srl</dc:creator>
  <cp:lastModifiedBy>riccardo sabbatini</cp:lastModifiedBy>
  <cp:revision>2</cp:revision>
  <dcterms:created xsi:type="dcterms:W3CDTF">2025-10-30T17:47:00Z</dcterms:created>
  <dcterms:modified xsi:type="dcterms:W3CDTF">2025-10-30T17:47:00Z</dcterms:modified>
</cp:coreProperties>
</file>