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ED73" w14:textId="3E588FC5" w:rsidR="00305F99" w:rsidRDefault="004139DB">
      <w:pPr>
        <w:spacing w:before="60" w:after="40"/>
      </w:pPr>
      <w:r>
        <w:rPr>
          <w:b/>
          <w:bCs/>
          <w:caps/>
          <w:color w:val="2E75B6"/>
          <w:sz w:val="18"/>
          <w:szCs w:val="18"/>
        </w:rPr>
        <w:t>PRESS REALEASE</w:t>
      </w:r>
    </w:p>
    <w:p w14:paraId="49D52C98" w14:textId="77777777" w:rsidR="00305F99" w:rsidRDefault="00000000">
      <w:pPr>
        <w:spacing w:after="60"/>
      </w:pPr>
      <w:r>
        <w:rPr>
          <w:b/>
          <w:bCs/>
          <w:color w:val="1F4E79"/>
          <w:sz w:val="40"/>
          <w:szCs w:val="40"/>
        </w:rPr>
        <w:t>CashMe lancia un fondo dedicato al capitale circolante delle imprese in crisi</w:t>
      </w:r>
    </w:p>
    <w:p w14:paraId="121C9891" w14:textId="0BB5231F" w:rsidR="00305F99" w:rsidRDefault="00000000">
      <w:pPr>
        <w:spacing w:after="160"/>
      </w:pPr>
      <w:r>
        <w:rPr>
          <w:i/>
          <w:iCs/>
          <w:color w:val="404040"/>
          <w:sz w:val="24"/>
          <w:szCs w:val="24"/>
        </w:rPr>
        <w:t xml:space="preserve">La fintech bresciana estende il proprio </w:t>
      </w:r>
      <w:r w:rsidR="004139DB">
        <w:rPr>
          <w:i/>
          <w:iCs/>
          <w:color w:val="404040"/>
          <w:sz w:val="24"/>
          <w:szCs w:val="24"/>
        </w:rPr>
        <w:t>servizio</w:t>
      </w:r>
      <w:r>
        <w:rPr>
          <w:i/>
          <w:iCs/>
          <w:color w:val="404040"/>
          <w:sz w:val="24"/>
          <w:szCs w:val="24"/>
        </w:rPr>
        <w:t xml:space="preserve"> di finanza alternativa alle PMI in composizione negoziata e nei percorsi di risanamento. Dotazione iniziale di 30 milioni di euro, fino a circa 120 milioni erogabili in un anno su base rotativa.</w:t>
      </w:r>
    </w:p>
    <w:p w14:paraId="6E15A1E1" w14:textId="77777777" w:rsidR="00305F99" w:rsidRDefault="00305F99">
      <w:pPr>
        <w:pBdr>
          <w:bottom w:val="single" w:sz="12" w:space="4" w:color="1F4E79"/>
        </w:pBdr>
        <w:spacing w:after="200"/>
      </w:pPr>
    </w:p>
    <w:p w14:paraId="4EF01F36" w14:textId="77777777" w:rsidR="00305F99" w:rsidRDefault="00000000">
      <w:pPr>
        <w:pBdr>
          <w:top w:val="single" w:sz="2" w:space="8" w:color="D9D9D9"/>
          <w:left w:val="single" w:sz="2" w:space="8" w:color="D9D9D9"/>
          <w:bottom w:val="single" w:sz="2" w:space="8" w:color="D9D9D9"/>
          <w:right w:val="single" w:sz="2" w:space="8" w:color="D9D9D9"/>
        </w:pBdr>
        <w:shd w:val="clear" w:color="auto" w:fill="F2F6FB"/>
        <w:spacing w:after="200"/>
      </w:pPr>
      <w:r>
        <w:rPr>
          <w:i/>
          <w:iCs/>
          <w:color w:val="595959"/>
          <w:sz w:val="19"/>
          <w:szCs w:val="19"/>
        </w:rPr>
        <w:t>Nota per la redazione — Il presente documento raccoglie informazioni, dati e dichiarazioni messi a disposizione da CashMe S.p.A. a supporto della redazione di un articolo. Le citazioni virgolettate sono attribuibili ai vertici aziendali e possono essere riportate integralmente o sintetizzate. Per approfondimenti, interviste o materiale fotografico, i riferimenti dell’ufficio comunicazione sono in calce.</w:t>
      </w:r>
    </w:p>
    <w:p w14:paraId="6CEA38CD" w14:textId="77777777" w:rsidR="00305F99" w:rsidRDefault="00000000">
      <w:pPr>
        <w:pStyle w:val="Titolo1"/>
        <w:pBdr>
          <w:bottom w:val="single" w:sz="6" w:space="4" w:color="2E75B6"/>
        </w:pBdr>
        <w:spacing w:before="320" w:after="160"/>
      </w:pPr>
      <w:r>
        <w:rPr>
          <w:color w:val="1F4E79"/>
        </w:rPr>
        <w:t>Chi è CashMe</w:t>
      </w:r>
    </w:p>
    <w:p w14:paraId="7091F6AC" w14:textId="07131914" w:rsidR="00305F99" w:rsidRDefault="00000000">
      <w:pPr>
        <w:spacing w:after="160" w:line="276" w:lineRule="auto"/>
        <w:jc w:val="both"/>
      </w:pPr>
      <w:r>
        <w:t>CashMe S.p.A. è una startup fintech italiana fondata nel 2015 e operativa dal 2017 da Marcello Scalmati</w:t>
      </w:r>
      <w:r w:rsidR="004139DB">
        <w:t>, Stefano Sainati</w:t>
      </w:r>
      <w:r>
        <w:t xml:space="preserve"> e Pietro Calvio — con un obiettivo preciso: portare alle piccole e medie imprese strumenti di finanza alternativa al credito bancario tradizionale. Un modello tecnologicamente avanzato ma fondato sulla prossimità al territorio e sulla relazione diretta con l’imprenditore.</w:t>
      </w:r>
    </w:p>
    <w:p w14:paraId="2AB11B66" w14:textId="3521176F" w:rsidR="00305F99" w:rsidRDefault="00000000">
      <w:pPr>
        <w:spacing w:after="160" w:line="276" w:lineRule="auto"/>
        <w:jc w:val="both"/>
      </w:pPr>
      <w:r>
        <w:t>Il cuore dell’attività è l’</w:t>
      </w:r>
      <w:proofErr w:type="spellStart"/>
      <w:r>
        <w:t>invoice</w:t>
      </w:r>
      <w:proofErr w:type="spellEnd"/>
      <w:r>
        <w:t xml:space="preserve"> trading: una </w:t>
      </w:r>
      <w:proofErr w:type="spellStart"/>
      <w:r w:rsidR="00C8756A">
        <w:t>piattaorma</w:t>
      </w:r>
      <w:proofErr w:type="spellEnd"/>
      <w:r w:rsidR="00C8756A">
        <w:t xml:space="preserve"> </w:t>
      </w:r>
      <w:r>
        <w:t xml:space="preserve">che consente alle imprese di cedere i propri crediti commerciali </w:t>
      </w:r>
      <w:r w:rsidR="00C8756A">
        <w:t xml:space="preserve">in cambio di liquidità immediata </w:t>
      </w:r>
      <w:r>
        <w:t>senza segnalazione in Centrale Rischi, ponendosi come strumento complementare — e non sostitutivo — al canale bancario. La piattaforma proprietaria è affiancata da una rete di consulenti dedicati attiva su tutto il territorio nazionale, con un forte radicamento nel Nord Italia, dove si concentra circa l’ottanta per cento delle aziende servite.</w:t>
      </w:r>
    </w:p>
    <w:p w14:paraId="6774D5B8" w14:textId="32E908E2" w:rsidR="00305F99" w:rsidRDefault="00000000">
      <w:pPr>
        <w:spacing w:after="160" w:line="276" w:lineRule="auto"/>
        <w:jc w:val="both"/>
      </w:pPr>
      <w:r>
        <w:t xml:space="preserve">Dall’avvio dell’operatività CashMe ha intermediato oltre 1,4 miliardi di euro di nuova finanza a favore delle PMI. La crescita prosegue a ritmo sostenuto: per il 2026 l’azienda punta a 450 milioni di euro </w:t>
      </w:r>
      <w:r w:rsidR="004139DB">
        <w:t xml:space="preserve">di </w:t>
      </w:r>
      <w:r>
        <w:t>funding raccolto da investitori e trasferito alle imprese attraverso l’acquisto di crediti commerciali. Dopo l’esordio a</w:t>
      </w:r>
      <w:r w:rsidR="004139DB">
        <w:t xml:space="preserve"> Brescia, un periodo a Mantova nel perimetro di un grande gruppo,</w:t>
      </w:r>
      <w:r>
        <w:t xml:space="preserve"> </w:t>
      </w:r>
      <w:r w:rsidR="004139DB">
        <w:t>ed il rientro a Brescia</w:t>
      </w:r>
      <w:r>
        <w:t xml:space="preserve">, CashMe ha aperto una sede in viale Italia 26, e ha approvato un piano di assunzioni che prevede l’inserimento di quattro consulenti commerciali, due credit </w:t>
      </w:r>
      <w:proofErr w:type="spellStart"/>
      <w:r>
        <w:t>analyst</w:t>
      </w:r>
      <w:proofErr w:type="spellEnd"/>
      <w:r>
        <w:t xml:space="preserve"> e due figure IT dedicate allo sviluppo della piattaforma e all’automazione dei processi</w:t>
      </w:r>
      <w:r w:rsidR="004139DB">
        <w:t>, che porterebbero il totale a circa 25 dipendenti.</w:t>
      </w:r>
    </w:p>
    <w:p w14:paraId="0837E07E" w14:textId="77777777" w:rsidR="00305F99" w:rsidRDefault="00000000">
      <w:pPr>
        <w:pStyle w:val="Titolo2"/>
        <w:spacing w:before="220" w:after="100"/>
      </w:pPr>
      <w:r>
        <w:rPr>
          <w:color w:val="2E75B6"/>
        </w:rPr>
        <w:t>I numeri in sintesi</w:t>
      </w:r>
    </w:p>
    <w:p w14:paraId="62AC03C9" w14:textId="77777777" w:rsidR="00305F99" w:rsidRDefault="00305F99">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0"/>
        <w:gridCol w:w="3760"/>
      </w:tblGrid>
      <w:tr w:rsidR="00305F99" w14:paraId="3EB7CD43" w14:textId="77777777">
        <w:tblPrEx>
          <w:tblCellMar>
            <w:top w:w="0" w:type="dxa"/>
            <w:bottom w:w="0" w:type="dxa"/>
          </w:tblCellMar>
        </w:tblPrEx>
        <w:trPr>
          <w:tblHeader/>
        </w:trPr>
        <w:tc>
          <w:tcPr>
            <w:tcW w:w="5600" w:type="dxa"/>
            <w:tcBorders>
              <w:top w:val="single" w:sz="1" w:space="0" w:color="D9D9D9"/>
              <w:left w:val="single" w:sz="1" w:space="0" w:color="D9D9D9"/>
              <w:bottom w:val="single" w:sz="1" w:space="0" w:color="D9D9D9"/>
              <w:right w:val="single" w:sz="1" w:space="0" w:color="D9D9D9"/>
            </w:tcBorders>
            <w:shd w:val="clear" w:color="auto" w:fill="1F4E79"/>
            <w:tcMar>
              <w:top w:w="80" w:type="dxa"/>
              <w:left w:w="140" w:type="dxa"/>
              <w:bottom w:w="80" w:type="dxa"/>
              <w:right w:w="120" w:type="dxa"/>
            </w:tcMar>
          </w:tcPr>
          <w:p w14:paraId="7C1A10D4" w14:textId="77777777" w:rsidR="00305F99" w:rsidRDefault="00000000">
            <w:r>
              <w:rPr>
                <w:b/>
                <w:bCs/>
                <w:color w:val="FFFFFF"/>
                <w:sz w:val="21"/>
                <w:szCs w:val="21"/>
              </w:rPr>
              <w:t>Indicatore</w:t>
            </w:r>
          </w:p>
        </w:tc>
        <w:tc>
          <w:tcPr>
            <w:tcW w:w="3760" w:type="dxa"/>
            <w:tcBorders>
              <w:top w:val="single" w:sz="1" w:space="0" w:color="D9D9D9"/>
              <w:left w:val="single" w:sz="1" w:space="0" w:color="D9D9D9"/>
              <w:bottom w:val="single" w:sz="1" w:space="0" w:color="D9D9D9"/>
              <w:right w:val="single" w:sz="1" w:space="0" w:color="D9D9D9"/>
            </w:tcBorders>
            <w:shd w:val="clear" w:color="auto" w:fill="1F4E79"/>
            <w:tcMar>
              <w:top w:w="80" w:type="dxa"/>
              <w:left w:w="140" w:type="dxa"/>
              <w:bottom w:w="80" w:type="dxa"/>
              <w:right w:w="120" w:type="dxa"/>
            </w:tcMar>
          </w:tcPr>
          <w:p w14:paraId="0F049AEA" w14:textId="77777777" w:rsidR="00305F99" w:rsidRDefault="00000000">
            <w:r>
              <w:rPr>
                <w:b/>
                <w:bCs/>
                <w:color w:val="FFFFFF"/>
                <w:sz w:val="21"/>
                <w:szCs w:val="21"/>
              </w:rPr>
              <w:t>Valore</w:t>
            </w:r>
          </w:p>
        </w:tc>
      </w:tr>
      <w:tr w:rsidR="00305F99" w14:paraId="3927E9AA" w14:textId="77777777">
        <w:tblPrEx>
          <w:tblCellMar>
            <w:top w:w="0" w:type="dxa"/>
            <w:bottom w:w="0" w:type="dxa"/>
          </w:tblCellMar>
        </w:tblPrEx>
        <w:tc>
          <w:tcPr>
            <w:tcW w:w="5600" w:type="dxa"/>
            <w:tcBorders>
              <w:top w:val="single" w:sz="1" w:space="0" w:color="D9D9D9"/>
              <w:left w:val="single" w:sz="1" w:space="0" w:color="D9D9D9"/>
              <w:bottom w:val="single" w:sz="1" w:space="0" w:color="D9D9D9"/>
              <w:right w:val="single" w:sz="1" w:space="0" w:color="D9D9D9"/>
            </w:tcBorders>
            <w:tcMar>
              <w:top w:w="70" w:type="dxa"/>
              <w:left w:w="140" w:type="dxa"/>
              <w:bottom w:w="70" w:type="dxa"/>
              <w:right w:w="120" w:type="dxa"/>
            </w:tcMar>
            <w:vAlign w:val="center"/>
          </w:tcPr>
          <w:p w14:paraId="2C4A5D68" w14:textId="5169A5A4" w:rsidR="00305F99" w:rsidRDefault="00000000">
            <w:r>
              <w:rPr>
                <w:sz w:val="21"/>
                <w:szCs w:val="21"/>
              </w:rPr>
              <w:t xml:space="preserve">Anno di </w:t>
            </w:r>
            <w:r w:rsidR="004139DB">
              <w:rPr>
                <w:sz w:val="21"/>
                <w:szCs w:val="21"/>
              </w:rPr>
              <w:t>lancio</w:t>
            </w:r>
          </w:p>
        </w:tc>
        <w:tc>
          <w:tcPr>
            <w:tcW w:w="3760" w:type="dxa"/>
            <w:tcBorders>
              <w:top w:val="single" w:sz="1" w:space="0" w:color="D9D9D9"/>
              <w:left w:val="single" w:sz="1" w:space="0" w:color="D9D9D9"/>
              <w:bottom w:val="single" w:sz="1" w:space="0" w:color="D9D9D9"/>
              <w:right w:val="single" w:sz="1" w:space="0" w:color="D9D9D9"/>
            </w:tcBorders>
            <w:tcMar>
              <w:top w:w="70" w:type="dxa"/>
              <w:left w:w="140" w:type="dxa"/>
              <w:bottom w:w="70" w:type="dxa"/>
              <w:right w:w="120" w:type="dxa"/>
            </w:tcMar>
            <w:vAlign w:val="center"/>
          </w:tcPr>
          <w:p w14:paraId="3BEE1EFF" w14:textId="0C47F94E" w:rsidR="00305F99" w:rsidRDefault="00000000">
            <w:r>
              <w:rPr>
                <w:b/>
                <w:bCs/>
                <w:color w:val="1F4E79"/>
                <w:sz w:val="21"/>
                <w:szCs w:val="21"/>
              </w:rPr>
              <w:t>201</w:t>
            </w:r>
            <w:r w:rsidR="004139DB">
              <w:rPr>
                <w:b/>
                <w:bCs/>
                <w:color w:val="1F4E79"/>
                <w:sz w:val="21"/>
                <w:szCs w:val="21"/>
              </w:rPr>
              <w:t>7</w:t>
            </w:r>
          </w:p>
        </w:tc>
      </w:tr>
      <w:tr w:rsidR="00305F99" w14:paraId="5718C94F" w14:textId="77777777">
        <w:tblPrEx>
          <w:tblCellMar>
            <w:top w:w="0" w:type="dxa"/>
            <w:bottom w:w="0" w:type="dxa"/>
          </w:tblCellMar>
        </w:tblPrEx>
        <w:tc>
          <w:tcPr>
            <w:tcW w:w="5600" w:type="dxa"/>
            <w:tcBorders>
              <w:top w:val="single" w:sz="1" w:space="0" w:color="D9D9D9"/>
              <w:left w:val="single" w:sz="1" w:space="0" w:color="D9D9D9"/>
              <w:bottom w:val="single" w:sz="1" w:space="0" w:color="D9D9D9"/>
              <w:right w:val="single" w:sz="1" w:space="0" w:color="D9D9D9"/>
            </w:tcBorders>
            <w:shd w:val="clear" w:color="auto" w:fill="F2F6FB"/>
            <w:tcMar>
              <w:top w:w="70" w:type="dxa"/>
              <w:left w:w="140" w:type="dxa"/>
              <w:bottom w:w="70" w:type="dxa"/>
              <w:right w:w="120" w:type="dxa"/>
            </w:tcMar>
            <w:vAlign w:val="center"/>
          </w:tcPr>
          <w:p w14:paraId="4B3BEE1B" w14:textId="77777777" w:rsidR="00305F99" w:rsidRDefault="00000000">
            <w:r>
              <w:rPr>
                <w:sz w:val="21"/>
                <w:szCs w:val="21"/>
              </w:rPr>
              <w:t>Nuova finanza intermediata dall’avvio</w:t>
            </w:r>
          </w:p>
        </w:tc>
        <w:tc>
          <w:tcPr>
            <w:tcW w:w="3760" w:type="dxa"/>
            <w:tcBorders>
              <w:top w:val="single" w:sz="1" w:space="0" w:color="D9D9D9"/>
              <w:left w:val="single" w:sz="1" w:space="0" w:color="D9D9D9"/>
              <w:bottom w:val="single" w:sz="1" w:space="0" w:color="D9D9D9"/>
              <w:right w:val="single" w:sz="1" w:space="0" w:color="D9D9D9"/>
            </w:tcBorders>
            <w:shd w:val="clear" w:color="auto" w:fill="F2F6FB"/>
            <w:tcMar>
              <w:top w:w="70" w:type="dxa"/>
              <w:left w:w="140" w:type="dxa"/>
              <w:bottom w:w="70" w:type="dxa"/>
              <w:right w:w="120" w:type="dxa"/>
            </w:tcMar>
            <w:vAlign w:val="center"/>
          </w:tcPr>
          <w:p w14:paraId="552A695C" w14:textId="77777777" w:rsidR="00305F99" w:rsidRDefault="00000000">
            <w:r>
              <w:rPr>
                <w:b/>
                <w:bCs/>
                <w:color w:val="1F4E79"/>
                <w:sz w:val="21"/>
                <w:szCs w:val="21"/>
              </w:rPr>
              <w:t>Oltre 1,4 mld €</w:t>
            </w:r>
          </w:p>
        </w:tc>
      </w:tr>
      <w:tr w:rsidR="00305F99" w14:paraId="4782DFD2" w14:textId="77777777">
        <w:tblPrEx>
          <w:tblCellMar>
            <w:top w:w="0" w:type="dxa"/>
            <w:bottom w:w="0" w:type="dxa"/>
          </w:tblCellMar>
        </w:tblPrEx>
        <w:tc>
          <w:tcPr>
            <w:tcW w:w="5600" w:type="dxa"/>
            <w:tcBorders>
              <w:top w:val="single" w:sz="1" w:space="0" w:color="D9D9D9"/>
              <w:left w:val="single" w:sz="1" w:space="0" w:color="D9D9D9"/>
              <w:bottom w:val="single" w:sz="1" w:space="0" w:color="D9D9D9"/>
              <w:right w:val="single" w:sz="1" w:space="0" w:color="D9D9D9"/>
            </w:tcBorders>
            <w:tcMar>
              <w:top w:w="70" w:type="dxa"/>
              <w:left w:w="140" w:type="dxa"/>
              <w:bottom w:w="70" w:type="dxa"/>
              <w:right w:w="120" w:type="dxa"/>
            </w:tcMar>
            <w:vAlign w:val="center"/>
          </w:tcPr>
          <w:p w14:paraId="6CEFC233" w14:textId="77777777" w:rsidR="00305F99" w:rsidRDefault="00000000">
            <w:r>
              <w:rPr>
                <w:sz w:val="21"/>
                <w:szCs w:val="21"/>
              </w:rPr>
              <w:lastRenderedPageBreak/>
              <w:t>Obiettivo di funding 2026</w:t>
            </w:r>
          </w:p>
        </w:tc>
        <w:tc>
          <w:tcPr>
            <w:tcW w:w="3760" w:type="dxa"/>
            <w:tcBorders>
              <w:top w:val="single" w:sz="1" w:space="0" w:color="D9D9D9"/>
              <w:left w:val="single" w:sz="1" w:space="0" w:color="D9D9D9"/>
              <w:bottom w:val="single" w:sz="1" w:space="0" w:color="D9D9D9"/>
              <w:right w:val="single" w:sz="1" w:space="0" w:color="D9D9D9"/>
            </w:tcBorders>
            <w:tcMar>
              <w:top w:w="70" w:type="dxa"/>
              <w:left w:w="140" w:type="dxa"/>
              <w:bottom w:w="70" w:type="dxa"/>
              <w:right w:w="120" w:type="dxa"/>
            </w:tcMar>
            <w:vAlign w:val="center"/>
          </w:tcPr>
          <w:p w14:paraId="44FA0AF3" w14:textId="77777777" w:rsidR="00305F99" w:rsidRDefault="00000000">
            <w:r>
              <w:rPr>
                <w:b/>
                <w:bCs/>
                <w:color w:val="1F4E79"/>
                <w:sz w:val="21"/>
                <w:szCs w:val="21"/>
              </w:rPr>
              <w:t>450 mln €</w:t>
            </w:r>
          </w:p>
        </w:tc>
      </w:tr>
      <w:tr w:rsidR="00305F99" w14:paraId="7D32D927" w14:textId="77777777">
        <w:tblPrEx>
          <w:tblCellMar>
            <w:top w:w="0" w:type="dxa"/>
            <w:bottom w:w="0" w:type="dxa"/>
          </w:tblCellMar>
        </w:tblPrEx>
        <w:tc>
          <w:tcPr>
            <w:tcW w:w="5600" w:type="dxa"/>
            <w:tcBorders>
              <w:top w:val="single" w:sz="1" w:space="0" w:color="D9D9D9"/>
              <w:left w:val="single" w:sz="1" w:space="0" w:color="D9D9D9"/>
              <w:bottom w:val="single" w:sz="1" w:space="0" w:color="D9D9D9"/>
              <w:right w:val="single" w:sz="1" w:space="0" w:color="D9D9D9"/>
            </w:tcBorders>
            <w:shd w:val="clear" w:color="auto" w:fill="F2F6FB"/>
            <w:tcMar>
              <w:top w:w="70" w:type="dxa"/>
              <w:left w:w="140" w:type="dxa"/>
              <w:bottom w:w="70" w:type="dxa"/>
              <w:right w:w="120" w:type="dxa"/>
            </w:tcMar>
            <w:vAlign w:val="center"/>
          </w:tcPr>
          <w:p w14:paraId="02D16970" w14:textId="77777777" w:rsidR="00305F99" w:rsidRDefault="00000000">
            <w:r>
              <w:rPr>
                <w:sz w:val="21"/>
                <w:szCs w:val="21"/>
              </w:rPr>
              <w:t>Ricavi 2025 (4,065 mln nel 2025; 3,37 nel 2024)</w:t>
            </w:r>
          </w:p>
        </w:tc>
        <w:tc>
          <w:tcPr>
            <w:tcW w:w="3760" w:type="dxa"/>
            <w:tcBorders>
              <w:top w:val="single" w:sz="1" w:space="0" w:color="D9D9D9"/>
              <w:left w:val="single" w:sz="1" w:space="0" w:color="D9D9D9"/>
              <w:bottom w:val="single" w:sz="1" w:space="0" w:color="D9D9D9"/>
              <w:right w:val="single" w:sz="1" w:space="0" w:color="D9D9D9"/>
            </w:tcBorders>
            <w:shd w:val="clear" w:color="auto" w:fill="F2F6FB"/>
            <w:tcMar>
              <w:top w:w="70" w:type="dxa"/>
              <w:left w:w="140" w:type="dxa"/>
              <w:bottom w:w="70" w:type="dxa"/>
              <w:right w:w="120" w:type="dxa"/>
            </w:tcMar>
            <w:vAlign w:val="center"/>
          </w:tcPr>
          <w:p w14:paraId="36C6A19D" w14:textId="77777777" w:rsidR="00305F99" w:rsidRDefault="00000000">
            <w:r>
              <w:rPr>
                <w:b/>
                <w:bCs/>
                <w:color w:val="1F4E79"/>
                <w:sz w:val="21"/>
                <w:szCs w:val="21"/>
              </w:rPr>
              <w:t>4,065 mln €</w:t>
            </w:r>
          </w:p>
        </w:tc>
      </w:tr>
      <w:tr w:rsidR="00305F99" w14:paraId="53CBD0A2" w14:textId="77777777">
        <w:tblPrEx>
          <w:tblCellMar>
            <w:top w:w="0" w:type="dxa"/>
            <w:bottom w:w="0" w:type="dxa"/>
          </w:tblCellMar>
        </w:tblPrEx>
        <w:tc>
          <w:tcPr>
            <w:tcW w:w="5600" w:type="dxa"/>
            <w:tcBorders>
              <w:top w:val="single" w:sz="1" w:space="0" w:color="D9D9D9"/>
              <w:left w:val="single" w:sz="1" w:space="0" w:color="D9D9D9"/>
              <w:bottom w:val="single" w:sz="1" w:space="0" w:color="D9D9D9"/>
              <w:right w:val="single" w:sz="1" w:space="0" w:color="D9D9D9"/>
            </w:tcBorders>
            <w:tcMar>
              <w:top w:w="70" w:type="dxa"/>
              <w:left w:w="140" w:type="dxa"/>
              <w:bottom w:w="70" w:type="dxa"/>
              <w:right w:w="120" w:type="dxa"/>
            </w:tcMar>
            <w:vAlign w:val="center"/>
          </w:tcPr>
          <w:p w14:paraId="22C1AB33" w14:textId="77777777" w:rsidR="00305F99" w:rsidRDefault="00000000">
            <w:r>
              <w:rPr>
                <w:sz w:val="21"/>
                <w:szCs w:val="21"/>
              </w:rPr>
              <w:t>Utile netto 2025</w:t>
            </w:r>
          </w:p>
        </w:tc>
        <w:tc>
          <w:tcPr>
            <w:tcW w:w="3760" w:type="dxa"/>
            <w:tcBorders>
              <w:top w:val="single" w:sz="1" w:space="0" w:color="D9D9D9"/>
              <w:left w:val="single" w:sz="1" w:space="0" w:color="D9D9D9"/>
              <w:bottom w:val="single" w:sz="1" w:space="0" w:color="D9D9D9"/>
              <w:right w:val="single" w:sz="1" w:space="0" w:color="D9D9D9"/>
            </w:tcBorders>
            <w:tcMar>
              <w:top w:w="70" w:type="dxa"/>
              <w:left w:w="140" w:type="dxa"/>
              <w:bottom w:w="70" w:type="dxa"/>
              <w:right w:w="120" w:type="dxa"/>
            </w:tcMar>
            <w:vAlign w:val="center"/>
          </w:tcPr>
          <w:p w14:paraId="7AD18AEE" w14:textId="77777777" w:rsidR="00305F99" w:rsidRDefault="00000000">
            <w:r>
              <w:rPr>
                <w:b/>
                <w:bCs/>
                <w:color w:val="1F4E79"/>
                <w:sz w:val="21"/>
                <w:szCs w:val="21"/>
              </w:rPr>
              <w:t>1,089 mln €</w:t>
            </w:r>
          </w:p>
        </w:tc>
      </w:tr>
      <w:tr w:rsidR="00305F99" w14:paraId="07F7A5AC" w14:textId="77777777">
        <w:tblPrEx>
          <w:tblCellMar>
            <w:top w:w="0" w:type="dxa"/>
            <w:bottom w:w="0" w:type="dxa"/>
          </w:tblCellMar>
        </w:tblPrEx>
        <w:tc>
          <w:tcPr>
            <w:tcW w:w="5600" w:type="dxa"/>
            <w:tcBorders>
              <w:top w:val="single" w:sz="1" w:space="0" w:color="D9D9D9"/>
              <w:left w:val="single" w:sz="1" w:space="0" w:color="D9D9D9"/>
              <w:bottom w:val="single" w:sz="1" w:space="0" w:color="D9D9D9"/>
              <w:right w:val="single" w:sz="1" w:space="0" w:color="D9D9D9"/>
            </w:tcBorders>
            <w:shd w:val="clear" w:color="auto" w:fill="F2F6FB"/>
            <w:tcMar>
              <w:top w:w="70" w:type="dxa"/>
              <w:left w:w="140" w:type="dxa"/>
              <w:bottom w:w="70" w:type="dxa"/>
              <w:right w:w="120" w:type="dxa"/>
            </w:tcMar>
            <w:vAlign w:val="center"/>
          </w:tcPr>
          <w:p w14:paraId="4D0FC093" w14:textId="77777777" w:rsidR="00305F99" w:rsidRDefault="00000000">
            <w:r>
              <w:rPr>
                <w:sz w:val="21"/>
                <w:szCs w:val="21"/>
              </w:rPr>
              <w:t>Team (dipendenti e collaboratori)</w:t>
            </w:r>
          </w:p>
        </w:tc>
        <w:tc>
          <w:tcPr>
            <w:tcW w:w="3760" w:type="dxa"/>
            <w:tcBorders>
              <w:top w:val="single" w:sz="1" w:space="0" w:color="D9D9D9"/>
              <w:left w:val="single" w:sz="1" w:space="0" w:color="D9D9D9"/>
              <w:bottom w:val="single" w:sz="1" w:space="0" w:color="D9D9D9"/>
              <w:right w:val="single" w:sz="1" w:space="0" w:color="D9D9D9"/>
            </w:tcBorders>
            <w:shd w:val="clear" w:color="auto" w:fill="F2F6FB"/>
            <w:tcMar>
              <w:top w:w="70" w:type="dxa"/>
              <w:left w:w="140" w:type="dxa"/>
              <w:bottom w:w="70" w:type="dxa"/>
              <w:right w:w="120" w:type="dxa"/>
            </w:tcMar>
            <w:vAlign w:val="center"/>
          </w:tcPr>
          <w:p w14:paraId="705BAC8E" w14:textId="77777777" w:rsidR="00305F99" w:rsidRDefault="00000000">
            <w:r>
              <w:rPr>
                <w:b/>
                <w:bCs/>
                <w:color w:val="1F4E79"/>
                <w:sz w:val="21"/>
                <w:szCs w:val="21"/>
              </w:rPr>
              <w:t>~20</w:t>
            </w:r>
          </w:p>
        </w:tc>
      </w:tr>
      <w:tr w:rsidR="00305F99" w14:paraId="26E856ED" w14:textId="77777777">
        <w:tblPrEx>
          <w:tblCellMar>
            <w:top w:w="0" w:type="dxa"/>
            <w:bottom w:w="0" w:type="dxa"/>
          </w:tblCellMar>
        </w:tblPrEx>
        <w:tc>
          <w:tcPr>
            <w:tcW w:w="5600" w:type="dxa"/>
            <w:tcBorders>
              <w:top w:val="single" w:sz="1" w:space="0" w:color="D9D9D9"/>
              <w:left w:val="single" w:sz="1" w:space="0" w:color="D9D9D9"/>
              <w:bottom w:val="single" w:sz="1" w:space="0" w:color="D9D9D9"/>
              <w:right w:val="single" w:sz="1" w:space="0" w:color="D9D9D9"/>
            </w:tcBorders>
            <w:tcMar>
              <w:top w:w="70" w:type="dxa"/>
              <w:left w:w="140" w:type="dxa"/>
              <w:bottom w:w="70" w:type="dxa"/>
              <w:right w:w="120" w:type="dxa"/>
            </w:tcMar>
            <w:vAlign w:val="center"/>
          </w:tcPr>
          <w:p w14:paraId="429B621E" w14:textId="77777777" w:rsidR="00305F99" w:rsidRDefault="00000000">
            <w:r>
              <w:rPr>
                <w:sz w:val="21"/>
                <w:szCs w:val="21"/>
              </w:rPr>
              <w:t>Imprese servite nel Nord Italia</w:t>
            </w:r>
          </w:p>
        </w:tc>
        <w:tc>
          <w:tcPr>
            <w:tcW w:w="3760" w:type="dxa"/>
            <w:tcBorders>
              <w:top w:val="single" w:sz="1" w:space="0" w:color="D9D9D9"/>
              <w:left w:val="single" w:sz="1" w:space="0" w:color="D9D9D9"/>
              <w:bottom w:val="single" w:sz="1" w:space="0" w:color="D9D9D9"/>
              <w:right w:val="single" w:sz="1" w:space="0" w:color="D9D9D9"/>
            </w:tcBorders>
            <w:tcMar>
              <w:top w:w="70" w:type="dxa"/>
              <w:left w:w="140" w:type="dxa"/>
              <w:bottom w:w="70" w:type="dxa"/>
              <w:right w:w="120" w:type="dxa"/>
            </w:tcMar>
            <w:vAlign w:val="center"/>
          </w:tcPr>
          <w:p w14:paraId="5E10004C" w14:textId="77777777" w:rsidR="00305F99" w:rsidRDefault="00000000">
            <w:r>
              <w:rPr>
                <w:b/>
                <w:bCs/>
                <w:color w:val="1F4E79"/>
                <w:sz w:val="21"/>
                <w:szCs w:val="21"/>
              </w:rPr>
              <w:t>~80%</w:t>
            </w:r>
          </w:p>
        </w:tc>
      </w:tr>
      <w:tr w:rsidR="00305F99" w14:paraId="73DBCBC9" w14:textId="77777777">
        <w:tblPrEx>
          <w:tblCellMar>
            <w:top w:w="0" w:type="dxa"/>
            <w:bottom w:w="0" w:type="dxa"/>
          </w:tblCellMar>
        </w:tblPrEx>
        <w:tc>
          <w:tcPr>
            <w:tcW w:w="5600" w:type="dxa"/>
            <w:tcBorders>
              <w:top w:val="single" w:sz="1" w:space="0" w:color="D9D9D9"/>
              <w:left w:val="single" w:sz="1" w:space="0" w:color="D9D9D9"/>
              <w:bottom w:val="single" w:sz="1" w:space="0" w:color="D9D9D9"/>
              <w:right w:val="single" w:sz="1" w:space="0" w:color="D9D9D9"/>
            </w:tcBorders>
            <w:shd w:val="clear" w:color="auto" w:fill="F2F6FB"/>
            <w:tcMar>
              <w:top w:w="70" w:type="dxa"/>
              <w:left w:w="140" w:type="dxa"/>
              <w:bottom w:w="70" w:type="dxa"/>
              <w:right w:w="120" w:type="dxa"/>
            </w:tcMar>
            <w:vAlign w:val="center"/>
          </w:tcPr>
          <w:p w14:paraId="3A5B8A7B" w14:textId="77777777" w:rsidR="00305F99" w:rsidRDefault="00000000">
            <w:r>
              <w:rPr>
                <w:sz w:val="21"/>
                <w:szCs w:val="21"/>
              </w:rPr>
              <w:t>Riconoscimento</w:t>
            </w:r>
          </w:p>
        </w:tc>
        <w:tc>
          <w:tcPr>
            <w:tcW w:w="3760" w:type="dxa"/>
            <w:tcBorders>
              <w:top w:val="single" w:sz="1" w:space="0" w:color="D9D9D9"/>
              <w:left w:val="single" w:sz="1" w:space="0" w:color="D9D9D9"/>
              <w:bottom w:val="single" w:sz="1" w:space="0" w:color="D9D9D9"/>
              <w:right w:val="single" w:sz="1" w:space="0" w:color="D9D9D9"/>
            </w:tcBorders>
            <w:shd w:val="clear" w:color="auto" w:fill="F2F6FB"/>
            <w:tcMar>
              <w:top w:w="70" w:type="dxa"/>
              <w:left w:w="140" w:type="dxa"/>
              <w:bottom w:w="70" w:type="dxa"/>
              <w:right w:w="120" w:type="dxa"/>
            </w:tcMar>
            <w:vAlign w:val="center"/>
          </w:tcPr>
          <w:p w14:paraId="64DC55FE" w14:textId="77777777" w:rsidR="00305F99" w:rsidRDefault="00000000">
            <w:r>
              <w:rPr>
                <w:b/>
                <w:bCs/>
                <w:color w:val="1F4E79"/>
                <w:sz w:val="21"/>
                <w:szCs w:val="21"/>
              </w:rPr>
              <w:t>Industria Felix 2026</w:t>
            </w:r>
          </w:p>
        </w:tc>
      </w:tr>
    </w:tbl>
    <w:p w14:paraId="5225C80B" w14:textId="77777777" w:rsidR="00305F99" w:rsidRDefault="00305F99">
      <w:pPr>
        <w:spacing w:after="200"/>
      </w:pPr>
    </w:p>
    <w:p w14:paraId="0E7828BD" w14:textId="77777777" w:rsidR="00305F99" w:rsidRDefault="00000000">
      <w:pPr>
        <w:pStyle w:val="Titolo1"/>
        <w:pBdr>
          <w:bottom w:val="single" w:sz="6" w:space="4" w:color="2E75B6"/>
        </w:pBdr>
        <w:spacing w:before="320" w:after="160"/>
      </w:pPr>
      <w:r>
        <w:rPr>
          <w:color w:val="1F4E79"/>
        </w:rPr>
        <w:t>Il nuovo fondo per le imprese in crisi</w:t>
      </w:r>
    </w:p>
    <w:p w14:paraId="32BF8CDD" w14:textId="77777777" w:rsidR="00305F99" w:rsidRDefault="00000000">
      <w:pPr>
        <w:spacing w:after="160" w:line="276" w:lineRule="auto"/>
        <w:jc w:val="both"/>
      </w:pPr>
      <w:r>
        <w:t>La novità più rilevante è il lancio di un nuovo fondo dedicato al sostegno del capitale circolante delle imprese in difficoltà finanziaria — le cosiddette imprese “</w:t>
      </w:r>
      <w:proofErr w:type="spellStart"/>
      <w:r>
        <w:t>distressed</w:t>
      </w:r>
      <w:proofErr w:type="spellEnd"/>
      <w:r>
        <w:t>” — con un focus particolare sulle aziende che stanno affrontando un percorso di composizione negoziata della crisi. Il veicolo nasce per coprire un’area di mercato ancora largamente scoperta dal sistema bancario tradizionale, che tende a ridurre l’esposizione proprio nel momento in cui l’impresa avrebbe maggiore necessità di liquidità per dare continuità all’attività.</w:t>
      </w:r>
    </w:p>
    <w:p w14:paraId="798BC895" w14:textId="77777777" w:rsidR="00305F99" w:rsidRDefault="00000000">
      <w:pPr>
        <w:spacing w:after="160" w:line="276" w:lineRule="auto"/>
        <w:jc w:val="both"/>
      </w:pPr>
      <w:r>
        <w:t>Il fondo dispone di una dotazione iniziale di 30 milioni di euro che, grazie alla natura rotativa dell’anticipo dei crediti commerciali, consente di finanziare circa 120 milioni di euro di volumi nell’arco di un anno, con la prospettiva di un’ulteriore crescita della dotazione e dei volumi negli anni successivi. Lo strumento si rivolge alle imprese che, pur attraversando una fase di tensione finanziaria, mantengono una prospettiva di continuità e un portafoglio di crediti commerciali di qualità verso debitori solidi.</w:t>
      </w:r>
    </w:p>
    <w:p w14:paraId="029AF538" w14:textId="77777777" w:rsidR="00305F99" w:rsidRDefault="00000000">
      <w:pPr>
        <w:pStyle w:val="Titolo2"/>
        <w:spacing w:before="220" w:after="100"/>
      </w:pPr>
      <w:r>
        <w:rPr>
          <w:color w:val="2E75B6"/>
        </w:rPr>
        <w:t>A chi si rivolge</w:t>
      </w:r>
    </w:p>
    <w:p w14:paraId="0DBE06D7" w14:textId="77777777" w:rsidR="00305F99" w:rsidRDefault="00000000">
      <w:pPr>
        <w:spacing w:after="160" w:line="276" w:lineRule="auto"/>
        <w:jc w:val="both"/>
      </w:pPr>
      <w:r>
        <w:t>Il fondo è pensato per accompagnare le imprese lungo i diversi strumenti di regolazione della crisi previsti dal Codice della Crisi d’Impresa e dell’Insolvenza, con particolare attenzione a:</w:t>
      </w:r>
    </w:p>
    <w:p w14:paraId="4E192100" w14:textId="77777777" w:rsidR="00305F99" w:rsidRDefault="00000000">
      <w:pPr>
        <w:pStyle w:val="Paragrafoelenco"/>
        <w:numPr>
          <w:ilvl w:val="0"/>
          <w:numId w:val="2"/>
        </w:numPr>
        <w:spacing w:after="90" w:line="276" w:lineRule="auto"/>
        <w:jc w:val="both"/>
      </w:pPr>
      <w:r>
        <w:t>la composizione negoziata della crisi, il percorso volontario e riservato che consente all’imprenditore di affrontare per tempo le situazioni di squilibrio con l’assistenza di un esperto indipendente;</w:t>
      </w:r>
    </w:p>
    <w:p w14:paraId="3513E500" w14:textId="77777777" w:rsidR="00305F99" w:rsidRDefault="00000000">
      <w:pPr>
        <w:pStyle w:val="Paragrafoelenco"/>
        <w:numPr>
          <w:ilvl w:val="0"/>
          <w:numId w:val="2"/>
        </w:numPr>
        <w:spacing w:after="90" w:line="276" w:lineRule="auto"/>
        <w:jc w:val="both"/>
      </w:pPr>
      <w:r>
        <w:t>gli accordi di ristrutturazione dei debiti e le altre procedure di risanamento, in cui l’apporto di nuova finanza al circolante è spesso determinante per la riuscita del piano;</w:t>
      </w:r>
    </w:p>
    <w:p w14:paraId="57450F55" w14:textId="77777777" w:rsidR="00305F99" w:rsidRDefault="00000000">
      <w:pPr>
        <w:pStyle w:val="Paragrafoelenco"/>
        <w:numPr>
          <w:ilvl w:val="0"/>
          <w:numId w:val="2"/>
        </w:numPr>
        <w:spacing w:after="90" w:line="276" w:lineRule="auto"/>
        <w:jc w:val="both"/>
      </w:pPr>
      <w:r>
        <w:t>le imprese in temporanea tensione finanziaria o classificate come “</w:t>
      </w:r>
      <w:proofErr w:type="spellStart"/>
      <w:r>
        <w:t>unlikely</w:t>
      </w:r>
      <w:proofErr w:type="spellEnd"/>
      <w:r>
        <w:t xml:space="preserve"> to </w:t>
      </w:r>
      <w:proofErr w:type="spellStart"/>
      <w:r>
        <w:t>pay</w:t>
      </w:r>
      <w:proofErr w:type="spellEnd"/>
      <w:r>
        <w:t>”, che necessitano di liquidità rapida per riattivare il ciclo produttivo e onorare i pagamenti ai fornitori.</w:t>
      </w:r>
    </w:p>
    <w:p w14:paraId="0F6A2405" w14:textId="77777777" w:rsidR="00305F99" w:rsidRDefault="00000000">
      <w:pPr>
        <w:spacing w:after="160" w:line="276" w:lineRule="auto"/>
        <w:jc w:val="both"/>
      </w:pPr>
      <w:r>
        <w:t>In tutti questi casi l’anticipo dei crediti commerciali agisce come una leva di stabilizzazione: trasforma in cassa immediata fatture altrimenti incagliate nei lunghi tempi di incasso, restituendo all’impresa l’ossigeno necessario per proseguire l’attività, tutelare i posti di lavoro e dare concretezza al piano di risanamento.</w:t>
      </w:r>
    </w:p>
    <w:p w14:paraId="75F49C1F" w14:textId="77777777" w:rsidR="00305F99" w:rsidRDefault="00000000">
      <w:pPr>
        <w:pStyle w:val="Titolo2"/>
        <w:spacing w:before="220" w:after="100"/>
      </w:pPr>
      <w:r>
        <w:rPr>
          <w:color w:val="2E75B6"/>
        </w:rPr>
        <w:t>Perché ora</w:t>
      </w:r>
    </w:p>
    <w:p w14:paraId="441635F7" w14:textId="77777777" w:rsidR="00305F99" w:rsidRDefault="00000000">
      <w:pPr>
        <w:spacing w:after="160" w:line="276" w:lineRule="auto"/>
        <w:jc w:val="both"/>
      </w:pPr>
      <w:r>
        <w:lastRenderedPageBreak/>
        <w:t xml:space="preserve">Il contesto economico — segnato da tempi di incasso lunghi, accesso al credito più selettivo e crescente pressione sulla liquidità — sta rendendo strumenti come factoring e </w:t>
      </w:r>
      <w:proofErr w:type="spellStart"/>
      <w:r>
        <w:t>invoice</w:t>
      </w:r>
      <w:proofErr w:type="spellEnd"/>
      <w:r>
        <w:t xml:space="preserve"> trading sempre più rilevanti per le PMI. Nel 2025 il mercato del factoring in Italia ha registrato una crescita del 3,75 per cento, confermando un trend in evoluzione. In questo scenario, la disponibilità di finanza dedicata alle imprese in crisi colma un vuoto: secondo le stime di settore, una quota significativa del tessuto imprenditoriale italiano attraversa fasi di fragilità finanziaria in cui un intervento tempestivo può fare la differenza tra il risanamento e l’uscita dal mercato.</w:t>
      </w:r>
    </w:p>
    <w:p w14:paraId="2321235E" w14:textId="77777777" w:rsidR="00305F99" w:rsidRDefault="00000000">
      <w:pPr>
        <w:pStyle w:val="Titolo1"/>
        <w:pBdr>
          <w:bottom w:val="single" w:sz="6" w:space="4" w:color="2E75B6"/>
        </w:pBdr>
        <w:spacing w:before="320" w:after="160"/>
      </w:pPr>
      <w:r>
        <w:rPr>
          <w:color w:val="1F4E79"/>
        </w:rPr>
        <w:t>Le dichiarazioni</w:t>
      </w:r>
    </w:p>
    <w:p w14:paraId="4956906F" w14:textId="77777777" w:rsidR="00305F99" w:rsidRDefault="00000000">
      <w:pPr>
        <w:spacing w:after="160" w:line="276" w:lineRule="auto"/>
        <w:jc w:val="both"/>
      </w:pPr>
      <w:r>
        <w:rPr>
          <w:b/>
          <w:bCs/>
        </w:rPr>
        <w:t>Marcello Scalmati, Amministratore Delegato di CashMe:</w:t>
      </w:r>
    </w:p>
    <w:p w14:paraId="18EFD083" w14:textId="77777777" w:rsidR="00305F99" w:rsidRDefault="00000000">
      <w:pPr>
        <w:pBdr>
          <w:left w:val="single" w:sz="18" w:space="12" w:color="2E75B6"/>
        </w:pBdr>
        <w:spacing w:before="120" w:after="160" w:line="276" w:lineRule="auto"/>
        <w:ind w:left="360"/>
        <w:jc w:val="both"/>
      </w:pPr>
      <w:r>
        <w:rPr>
          <w:i/>
          <w:iCs/>
          <w:sz w:val="23"/>
          <w:szCs w:val="23"/>
        </w:rPr>
        <w:t>“Con questo fondo portiamo la nostra esperienza nell’</w:t>
      </w:r>
      <w:proofErr w:type="spellStart"/>
      <w:r>
        <w:rPr>
          <w:i/>
          <w:iCs/>
          <w:sz w:val="23"/>
          <w:szCs w:val="23"/>
        </w:rPr>
        <w:t>invoice</w:t>
      </w:r>
      <w:proofErr w:type="spellEnd"/>
      <w:r>
        <w:rPr>
          <w:i/>
          <w:iCs/>
          <w:sz w:val="23"/>
          <w:szCs w:val="23"/>
        </w:rPr>
        <w:t xml:space="preserve"> trading là dove il bisogno di liquidità è più urgente e meno presidiato: le imprese che stanno affrontando una fase di crisi ma che hanno tutte le carte in regola per ripartire. Troppo spesso queste aziende si trovano isolate proprio nel momento decisivo. Noi guardiamo alla qualità dei loro crediti commerciali e diamo cassa subito, accompagnando l’impresa lungo il percorso di risanamento.”</w:t>
      </w:r>
    </w:p>
    <w:p w14:paraId="431EF16E" w14:textId="77777777" w:rsidR="00305F99" w:rsidRDefault="00000000">
      <w:pPr>
        <w:pBdr>
          <w:left w:val="single" w:sz="18" w:space="12" w:color="2E75B6"/>
        </w:pBdr>
        <w:spacing w:before="120" w:after="160" w:line="276" w:lineRule="auto"/>
        <w:ind w:left="360"/>
        <w:jc w:val="both"/>
      </w:pPr>
      <w:r>
        <w:rPr>
          <w:i/>
          <w:iCs/>
          <w:sz w:val="23"/>
          <w:szCs w:val="23"/>
        </w:rPr>
        <w:t>“Il contesto attuale, fatto di tempi di incasso lunghi e di un credito bancario sempre più selettivo, rende strumenti come l’</w:t>
      </w:r>
      <w:proofErr w:type="spellStart"/>
      <w:r>
        <w:rPr>
          <w:i/>
          <w:iCs/>
          <w:sz w:val="23"/>
          <w:szCs w:val="23"/>
        </w:rPr>
        <w:t>invoice</w:t>
      </w:r>
      <w:proofErr w:type="spellEnd"/>
      <w:r>
        <w:rPr>
          <w:i/>
          <w:iCs/>
          <w:sz w:val="23"/>
          <w:szCs w:val="23"/>
        </w:rPr>
        <w:t xml:space="preserve"> trading sempre più strategici. Trenta milioni di dotazione iniziale ci permettono di muovere circa centoventi milioni di euro di volumi in un anno: è solo il punto di partenza di un progetto destinato a crescere.”</w:t>
      </w:r>
    </w:p>
    <w:p w14:paraId="1520D983" w14:textId="77777777" w:rsidR="00305F99" w:rsidRDefault="00000000">
      <w:pPr>
        <w:spacing w:after="200"/>
        <w:ind w:left="360"/>
      </w:pPr>
      <w:r>
        <w:rPr>
          <w:color w:val="595959"/>
          <w:sz w:val="20"/>
          <w:szCs w:val="20"/>
        </w:rPr>
        <w:t>— Marcello Scalmati, Amministratore Delegato di CashMe S.p.A.</w:t>
      </w:r>
    </w:p>
    <w:p w14:paraId="2845342F" w14:textId="7D399E20" w:rsidR="00305F99" w:rsidRDefault="004139DB">
      <w:pPr>
        <w:spacing w:after="160" w:line="276" w:lineRule="auto"/>
        <w:jc w:val="both"/>
      </w:pPr>
      <w:r>
        <w:rPr>
          <w:b/>
          <w:bCs/>
        </w:rPr>
        <w:t>Pietro Calvio</w:t>
      </w:r>
      <w:r w:rsidR="00000000">
        <w:rPr>
          <w:b/>
          <w:bCs/>
        </w:rPr>
        <w:t>, co-fondatore di CashMe:</w:t>
      </w:r>
    </w:p>
    <w:p w14:paraId="01EFAE65" w14:textId="77777777" w:rsidR="00305F99" w:rsidRDefault="00000000">
      <w:pPr>
        <w:pBdr>
          <w:left w:val="single" w:sz="18" w:space="12" w:color="2E75B6"/>
        </w:pBdr>
        <w:spacing w:before="120" w:after="160" w:line="276" w:lineRule="auto"/>
        <w:ind w:left="360"/>
        <w:jc w:val="both"/>
      </w:pPr>
      <w:r>
        <w:rPr>
          <w:i/>
          <w:iCs/>
          <w:sz w:val="23"/>
          <w:szCs w:val="23"/>
        </w:rPr>
        <w:t>“L’Italia è il Paese più banco-centrico d’Europa, ma in molti altri mercati è normale rivolgersi anche a fonti di finanziamento diverse. Con la nostra operatività stiamo allargando la platea delle imprese che si finanziano anche attraverso il funding alternativo. Con il nuovo fondo facciamo un passo ulteriore: offriamo una risposta concreta anche a chi attraversa un momento di difficoltà, con la velocità e la flessibilità che il sistema tradizionale spesso non riesce a garantire.”</w:t>
      </w:r>
    </w:p>
    <w:p w14:paraId="6301F876" w14:textId="18E94A3C" w:rsidR="00305F99" w:rsidRDefault="00000000">
      <w:pPr>
        <w:spacing w:after="200"/>
        <w:ind w:left="360"/>
      </w:pPr>
      <w:r>
        <w:rPr>
          <w:color w:val="595959"/>
          <w:sz w:val="20"/>
          <w:szCs w:val="20"/>
        </w:rPr>
        <w:t xml:space="preserve">— </w:t>
      </w:r>
      <w:r w:rsidR="004139DB">
        <w:rPr>
          <w:color w:val="595959"/>
          <w:sz w:val="20"/>
          <w:szCs w:val="20"/>
        </w:rPr>
        <w:t>Pietro Calvio</w:t>
      </w:r>
      <w:r>
        <w:rPr>
          <w:color w:val="595959"/>
          <w:sz w:val="20"/>
          <w:szCs w:val="20"/>
        </w:rPr>
        <w:t>, co-fondatore di CashMe S.p.A.</w:t>
      </w:r>
    </w:p>
    <w:p w14:paraId="5DA5A14E" w14:textId="77777777" w:rsidR="00305F99" w:rsidRDefault="00000000">
      <w:pPr>
        <w:pStyle w:val="Titolo1"/>
        <w:pBdr>
          <w:bottom w:val="single" w:sz="6" w:space="4" w:color="2E75B6"/>
        </w:pBdr>
        <w:spacing w:before="320" w:after="160"/>
      </w:pPr>
      <w:r>
        <w:rPr>
          <w:color w:val="1F4E79"/>
        </w:rPr>
        <w:t>Spunti per l’articolo</w:t>
      </w:r>
    </w:p>
    <w:p w14:paraId="362A2765" w14:textId="77777777" w:rsidR="00305F99" w:rsidRDefault="00000000">
      <w:pPr>
        <w:pStyle w:val="Paragrafoelenco"/>
        <w:numPr>
          <w:ilvl w:val="0"/>
          <w:numId w:val="2"/>
        </w:numPr>
        <w:spacing w:after="90" w:line="276" w:lineRule="auto"/>
        <w:jc w:val="both"/>
      </w:pPr>
      <w:r>
        <w:t>Una fintech bresciana che applica un “modello vecchia scuola” — prossimità e relazione — a uno strumento digitale e innovativo.</w:t>
      </w:r>
    </w:p>
    <w:p w14:paraId="0A36236A" w14:textId="237DA85D" w:rsidR="00305F99" w:rsidRDefault="00000000">
      <w:pPr>
        <w:pStyle w:val="Paragrafoelenco"/>
        <w:numPr>
          <w:ilvl w:val="0"/>
          <w:numId w:val="2"/>
        </w:numPr>
        <w:spacing w:after="90" w:line="276" w:lineRule="auto"/>
        <w:jc w:val="both"/>
      </w:pPr>
      <w:r>
        <w:t>Il salto di campo: dall</w:t>
      </w:r>
      <w:r w:rsidR="004139DB">
        <w:t xml:space="preserve">a cessione dei crediti dedicato </w:t>
      </w:r>
      <w:r>
        <w:t>alle imprese in bonis al sostegno delle imprese in crisi, un segmento ad alta specializzazione e ad alto valore sociale (continuità aziendale e posti di lavoro).</w:t>
      </w:r>
    </w:p>
    <w:p w14:paraId="59F94531" w14:textId="77777777" w:rsidR="00305F99" w:rsidRDefault="00000000">
      <w:pPr>
        <w:pStyle w:val="Paragrafoelenco"/>
        <w:numPr>
          <w:ilvl w:val="0"/>
          <w:numId w:val="2"/>
        </w:numPr>
        <w:spacing w:after="90" w:line="276" w:lineRule="auto"/>
        <w:jc w:val="both"/>
      </w:pPr>
      <w:r>
        <w:t>Il legame con la composizione negoziata della crisi e con il Codice della Crisi d’Impresa: un tema di stretta attualità normativa e gestionale per professionisti e imprenditori.</w:t>
      </w:r>
    </w:p>
    <w:p w14:paraId="17D1061B" w14:textId="77777777" w:rsidR="00305F99" w:rsidRDefault="00000000">
      <w:pPr>
        <w:pStyle w:val="Paragrafoelenco"/>
        <w:numPr>
          <w:ilvl w:val="0"/>
          <w:numId w:val="2"/>
        </w:numPr>
        <w:spacing w:after="90" w:line="276" w:lineRule="auto"/>
        <w:jc w:val="both"/>
      </w:pPr>
      <w:r>
        <w:lastRenderedPageBreak/>
        <w:t>La dimensione locale: nuova sede in viale Italia, piano di assunzioni, radicamento nel Nord Italia e riconoscimento Industria Felix 2026.</w:t>
      </w:r>
    </w:p>
    <w:p w14:paraId="4D806A7A" w14:textId="77777777" w:rsidR="005215A7" w:rsidRDefault="005215A7">
      <w:pPr>
        <w:spacing w:after="40"/>
        <w:rPr>
          <w:b/>
          <w:bCs/>
          <w:color w:val="1F4E79"/>
          <w:sz w:val="24"/>
          <w:szCs w:val="24"/>
        </w:rPr>
      </w:pPr>
    </w:p>
    <w:p w14:paraId="6EFE0E0E" w14:textId="590FC834" w:rsidR="00305F99" w:rsidRDefault="00000000">
      <w:pPr>
        <w:spacing w:after="40"/>
      </w:pPr>
      <w:r>
        <w:rPr>
          <w:b/>
          <w:bCs/>
          <w:sz w:val="21"/>
          <w:szCs w:val="21"/>
        </w:rPr>
        <w:t xml:space="preserve">CashMe S.p.A. </w:t>
      </w:r>
    </w:p>
    <w:p w14:paraId="236E1C09" w14:textId="77777777" w:rsidR="00305F99" w:rsidRDefault="00000000">
      <w:pPr>
        <w:spacing w:after="40"/>
      </w:pPr>
      <w:r>
        <w:rPr>
          <w:sz w:val="21"/>
          <w:szCs w:val="21"/>
        </w:rPr>
        <w:t>Viale Italia 26, Brescia</w:t>
      </w:r>
    </w:p>
    <w:p w14:paraId="52363CCA" w14:textId="6526518A" w:rsidR="00305F99" w:rsidRDefault="00305F99">
      <w:pPr>
        <w:spacing w:after="40"/>
      </w:pPr>
    </w:p>
    <w:sectPr w:rsidR="00305F99">
      <w:headerReference w:type="default" r:id="rId7"/>
      <w:footerReference w:type="default" r:id="rId8"/>
      <w:pgSz w:w="12240" w:h="15840"/>
      <w:pgMar w:top="1300" w:right="1440" w:bottom="13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5327" w14:textId="77777777" w:rsidR="003A321D" w:rsidRDefault="003A321D">
      <w:r>
        <w:separator/>
      </w:r>
    </w:p>
  </w:endnote>
  <w:endnote w:type="continuationSeparator" w:id="0">
    <w:p w14:paraId="26B1CAF0" w14:textId="77777777" w:rsidR="003A321D" w:rsidRDefault="003A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9F5C" w14:textId="77777777" w:rsidR="00305F99" w:rsidRDefault="00000000">
    <w:pPr>
      <w:pBdr>
        <w:top w:val="single" w:sz="4" w:space="6" w:color="D9D9D9"/>
      </w:pBdr>
      <w:jc w:val="center"/>
    </w:pPr>
    <w:r>
      <w:rPr>
        <w:color w:val="595959"/>
        <w:sz w:val="16"/>
        <w:szCs w:val="16"/>
      </w:rPr>
      <w:t xml:space="preserve">CashMe S.p.A.  ·  Viale Italia 26, Brescia  ·  Documento riservato alla stampa  ·  Pag. </w:t>
    </w:r>
    <w:r>
      <w:rPr>
        <w:color w:val="595959"/>
        <w:sz w:val="16"/>
        <w:szCs w:val="16"/>
      </w:rPr>
      <w:fldChar w:fldCharType="begin"/>
    </w:r>
    <w:r>
      <w:rPr>
        <w:color w:val="595959"/>
        <w:sz w:val="16"/>
        <w:szCs w:val="16"/>
      </w:rPr>
      <w:instrText>PAGE</w:instrText>
    </w:r>
    <w:r>
      <w:rPr>
        <w:color w:val="595959"/>
        <w:sz w:val="16"/>
        <w:szCs w:val="16"/>
      </w:rPr>
      <w:fldChar w:fldCharType="separate"/>
    </w:r>
    <w:r w:rsidR="004139DB">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132E" w14:textId="77777777" w:rsidR="003A321D" w:rsidRDefault="003A321D">
      <w:r>
        <w:separator/>
      </w:r>
    </w:p>
  </w:footnote>
  <w:footnote w:type="continuationSeparator" w:id="0">
    <w:p w14:paraId="60514016" w14:textId="77777777" w:rsidR="003A321D" w:rsidRDefault="003A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1860" w14:textId="1F2FDC97" w:rsidR="004139DB" w:rsidRPr="004139DB" w:rsidRDefault="00000000">
    <w:pPr>
      <w:pBdr>
        <w:bottom w:val="single" w:sz="4" w:space="6" w:color="1F4E79"/>
      </w:pBdr>
      <w:spacing w:after="60"/>
      <w:rPr>
        <w:color w:val="595959"/>
        <w:sz w:val="18"/>
        <w:szCs w:val="18"/>
      </w:rPr>
    </w:pPr>
    <w:r>
      <w:rPr>
        <w:b/>
        <w:bCs/>
        <w:color w:val="1F4E79"/>
        <w:sz w:val="20"/>
        <w:szCs w:val="20"/>
      </w:rPr>
      <w:t>CashMe S.p.A.</w:t>
    </w:r>
    <w:r>
      <w:rPr>
        <w:color w:val="595959"/>
        <w:sz w:val="18"/>
        <w:szCs w:val="18"/>
      </w:rPr>
      <w:t xml:space="preserve">  —  </w:t>
    </w:r>
    <w:r w:rsidR="004139DB">
      <w:rPr>
        <w:color w:val="595959"/>
        <w:sz w:val="18"/>
        <w:szCs w:val="1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E7C93"/>
    <w:multiLevelType w:val="hybridMultilevel"/>
    <w:tmpl w:val="E62E091A"/>
    <w:lvl w:ilvl="0" w:tplc="98CE830A">
      <w:start w:val="1"/>
      <w:numFmt w:val="bullet"/>
      <w:lvlText w:val="●"/>
      <w:lvlJc w:val="left"/>
      <w:pPr>
        <w:ind w:left="720" w:hanging="360"/>
      </w:pPr>
    </w:lvl>
    <w:lvl w:ilvl="1" w:tplc="ACE44136">
      <w:start w:val="1"/>
      <w:numFmt w:val="bullet"/>
      <w:lvlText w:val="○"/>
      <w:lvlJc w:val="left"/>
      <w:pPr>
        <w:ind w:left="1440" w:hanging="360"/>
      </w:pPr>
    </w:lvl>
    <w:lvl w:ilvl="2" w:tplc="023E5426">
      <w:start w:val="1"/>
      <w:numFmt w:val="bullet"/>
      <w:lvlText w:val="■"/>
      <w:lvlJc w:val="left"/>
      <w:pPr>
        <w:ind w:left="2160" w:hanging="360"/>
      </w:pPr>
    </w:lvl>
    <w:lvl w:ilvl="3" w:tplc="D0EA41A8">
      <w:start w:val="1"/>
      <w:numFmt w:val="bullet"/>
      <w:lvlText w:val="●"/>
      <w:lvlJc w:val="left"/>
      <w:pPr>
        <w:ind w:left="2880" w:hanging="360"/>
      </w:pPr>
    </w:lvl>
    <w:lvl w:ilvl="4" w:tplc="42AE8A9A">
      <w:start w:val="1"/>
      <w:numFmt w:val="bullet"/>
      <w:lvlText w:val="○"/>
      <w:lvlJc w:val="left"/>
      <w:pPr>
        <w:ind w:left="3600" w:hanging="360"/>
      </w:pPr>
    </w:lvl>
    <w:lvl w:ilvl="5" w:tplc="CA7A5F7C">
      <w:start w:val="1"/>
      <w:numFmt w:val="bullet"/>
      <w:lvlText w:val="■"/>
      <w:lvlJc w:val="left"/>
      <w:pPr>
        <w:ind w:left="4320" w:hanging="360"/>
      </w:pPr>
    </w:lvl>
    <w:lvl w:ilvl="6" w:tplc="7FF2C5A8">
      <w:start w:val="1"/>
      <w:numFmt w:val="bullet"/>
      <w:lvlText w:val="●"/>
      <w:lvlJc w:val="left"/>
      <w:pPr>
        <w:ind w:left="5040" w:hanging="360"/>
      </w:pPr>
    </w:lvl>
    <w:lvl w:ilvl="7" w:tplc="3D5A1280">
      <w:start w:val="1"/>
      <w:numFmt w:val="bullet"/>
      <w:lvlText w:val="●"/>
      <w:lvlJc w:val="left"/>
      <w:pPr>
        <w:ind w:left="5760" w:hanging="360"/>
      </w:pPr>
    </w:lvl>
    <w:lvl w:ilvl="8" w:tplc="3020B284">
      <w:start w:val="1"/>
      <w:numFmt w:val="bullet"/>
      <w:lvlText w:val="●"/>
      <w:lvlJc w:val="left"/>
      <w:pPr>
        <w:ind w:left="6480" w:hanging="360"/>
      </w:pPr>
    </w:lvl>
  </w:abstractNum>
  <w:abstractNum w:abstractNumId="1" w15:restartNumberingAfterBreak="0">
    <w:nsid w:val="41273E55"/>
    <w:multiLevelType w:val="hybridMultilevel"/>
    <w:tmpl w:val="1A08F75C"/>
    <w:lvl w:ilvl="0" w:tplc="3D207A58">
      <w:start w:val="1"/>
      <w:numFmt w:val="bullet"/>
      <w:lvlText w:val="•"/>
      <w:lvlJc w:val="left"/>
      <w:pPr>
        <w:ind w:left="460" w:hanging="260"/>
      </w:pPr>
      <w:rPr>
        <w:color w:val="2E75B6"/>
      </w:rPr>
    </w:lvl>
    <w:lvl w:ilvl="1" w:tplc="037E328C">
      <w:numFmt w:val="decimal"/>
      <w:lvlText w:val=""/>
      <w:lvlJc w:val="left"/>
    </w:lvl>
    <w:lvl w:ilvl="2" w:tplc="B2E8EAB2">
      <w:numFmt w:val="decimal"/>
      <w:lvlText w:val=""/>
      <w:lvlJc w:val="left"/>
    </w:lvl>
    <w:lvl w:ilvl="3" w:tplc="6876D87E">
      <w:numFmt w:val="decimal"/>
      <w:lvlText w:val=""/>
      <w:lvlJc w:val="left"/>
    </w:lvl>
    <w:lvl w:ilvl="4" w:tplc="055299D6">
      <w:numFmt w:val="decimal"/>
      <w:lvlText w:val=""/>
      <w:lvlJc w:val="left"/>
    </w:lvl>
    <w:lvl w:ilvl="5" w:tplc="399CA496">
      <w:numFmt w:val="decimal"/>
      <w:lvlText w:val=""/>
      <w:lvlJc w:val="left"/>
    </w:lvl>
    <w:lvl w:ilvl="6" w:tplc="99DAD2BE">
      <w:numFmt w:val="decimal"/>
      <w:lvlText w:val=""/>
      <w:lvlJc w:val="left"/>
    </w:lvl>
    <w:lvl w:ilvl="7" w:tplc="6BEA5C0A">
      <w:numFmt w:val="decimal"/>
      <w:lvlText w:val=""/>
      <w:lvlJc w:val="left"/>
    </w:lvl>
    <w:lvl w:ilvl="8" w:tplc="62FA7E80">
      <w:numFmt w:val="decimal"/>
      <w:lvlText w:val=""/>
      <w:lvlJc w:val="left"/>
    </w:lvl>
  </w:abstractNum>
  <w:num w:numId="1" w16cid:durableId="939218229">
    <w:abstractNumId w:val="0"/>
    <w:lvlOverride w:ilvl="0">
      <w:startOverride w:val="1"/>
    </w:lvlOverride>
  </w:num>
  <w:num w:numId="2" w16cid:durableId="41918198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99"/>
    <w:rsid w:val="00305F99"/>
    <w:rsid w:val="003A321D"/>
    <w:rsid w:val="004139DB"/>
    <w:rsid w:val="005215A7"/>
    <w:rsid w:val="00C8756A"/>
    <w:rsid w:val="00F24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2D44439"/>
  <w15:docId w15:val="{E000CE10-ACE0-FE45-8AD2-95991C85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62626"/>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b/>
      <w:bCs/>
      <w:sz w:val="30"/>
      <w:szCs w:val="30"/>
    </w:rPr>
  </w:style>
  <w:style w:type="paragraph" w:styleId="Titolo2">
    <w:name w:val="heading 2"/>
    <w:uiPriority w:val="9"/>
    <w:unhideWhenUsed/>
    <w:qFormat/>
    <w:pPr>
      <w:outlineLvl w:val="1"/>
    </w:pPr>
    <w:rPr>
      <w:b/>
      <w:bCs/>
      <w:sz w:val="25"/>
      <w:szCs w:val="25"/>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4139DB"/>
    <w:pPr>
      <w:tabs>
        <w:tab w:val="center" w:pos="4819"/>
        <w:tab w:val="right" w:pos="9638"/>
      </w:tabs>
    </w:pPr>
  </w:style>
  <w:style w:type="character" w:customStyle="1" w:styleId="IntestazioneCarattere">
    <w:name w:val="Intestazione Carattere"/>
    <w:basedOn w:val="Carpredefinitoparagrafo"/>
    <w:link w:val="Intestazione"/>
    <w:uiPriority w:val="99"/>
    <w:rsid w:val="004139DB"/>
  </w:style>
  <w:style w:type="paragraph" w:styleId="Pidipagina">
    <w:name w:val="footer"/>
    <w:basedOn w:val="Normale"/>
    <w:link w:val="PidipaginaCarattere"/>
    <w:uiPriority w:val="99"/>
    <w:unhideWhenUsed/>
    <w:rsid w:val="004139DB"/>
    <w:pPr>
      <w:tabs>
        <w:tab w:val="center" w:pos="4819"/>
        <w:tab w:val="right" w:pos="9638"/>
      </w:tabs>
    </w:pPr>
  </w:style>
  <w:style w:type="character" w:customStyle="1" w:styleId="PidipaginaCarattere">
    <w:name w:val="Piè di pagina Carattere"/>
    <w:basedOn w:val="Carpredefinitoparagrafo"/>
    <w:link w:val="Pidipagina"/>
    <w:uiPriority w:val="99"/>
    <w:rsid w:val="0041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1174</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Marcello Scalmati</cp:lastModifiedBy>
  <cp:revision>3</cp:revision>
  <dcterms:created xsi:type="dcterms:W3CDTF">2026-05-25T07:31:00Z</dcterms:created>
  <dcterms:modified xsi:type="dcterms:W3CDTF">2026-05-25T07:50:00Z</dcterms:modified>
</cp:coreProperties>
</file>