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1FC9" w14:textId="77777777" w:rsidR="009913C1" w:rsidRPr="000F7625" w:rsidRDefault="009913C1" w:rsidP="0057536B">
      <w:pPr>
        <w:jc w:val="center"/>
        <w:rPr>
          <w:rFonts w:ascii="Aptos" w:hAnsi="Aptos"/>
        </w:rPr>
      </w:pPr>
      <w:r w:rsidRPr="000F7625">
        <w:rPr>
          <w:rFonts w:ascii="Aptos" w:hAnsi="Aptos"/>
        </w:rPr>
        <w:t>COMUNICATO STAMPA</w:t>
      </w:r>
    </w:p>
    <w:p w14:paraId="0A196DB7" w14:textId="77777777" w:rsidR="002C60FF" w:rsidRPr="00A65B70" w:rsidRDefault="002C60FF" w:rsidP="00A65B70">
      <w:pPr>
        <w:jc w:val="center"/>
        <w:rPr>
          <w:rFonts w:ascii="Aptos" w:hAnsi="Aptos"/>
          <w:i/>
          <w:iCs/>
          <w:sz w:val="28"/>
          <w:szCs w:val="28"/>
        </w:rPr>
      </w:pPr>
    </w:p>
    <w:p w14:paraId="6B294777" w14:textId="17D7FE08" w:rsidR="00A65B70" w:rsidRPr="00A65B70" w:rsidRDefault="00A65B70" w:rsidP="00A65B70">
      <w:pPr>
        <w:jc w:val="center"/>
        <w:rPr>
          <w:rFonts w:ascii="Aptos" w:hAnsi="Aptos"/>
          <w:b/>
          <w:bCs/>
          <w:i/>
          <w:iCs/>
          <w:sz w:val="24"/>
          <w:szCs w:val="24"/>
        </w:rPr>
      </w:pPr>
      <w:proofErr w:type="spellStart"/>
      <w:r>
        <w:rPr>
          <w:rFonts w:ascii="Aptos" w:hAnsi="Aptos"/>
          <w:b/>
          <w:bCs/>
          <w:i/>
          <w:iCs/>
          <w:sz w:val="24"/>
          <w:szCs w:val="24"/>
        </w:rPr>
        <w:t>v</w:t>
      </w:r>
      <w:r w:rsidRPr="00A65B70">
        <w:rPr>
          <w:rFonts w:ascii="Aptos" w:hAnsi="Aptos"/>
          <w:b/>
          <w:bCs/>
          <w:i/>
          <w:iCs/>
          <w:sz w:val="24"/>
          <w:szCs w:val="24"/>
        </w:rPr>
        <w:t>exuvo</w:t>
      </w:r>
      <w:proofErr w:type="spellEnd"/>
      <w:r w:rsidRPr="00A65B70">
        <w:rPr>
          <w:rFonts w:ascii="Aptos" w:hAnsi="Aptos"/>
          <w:b/>
          <w:bCs/>
          <w:i/>
          <w:iCs/>
          <w:sz w:val="24"/>
          <w:szCs w:val="24"/>
        </w:rPr>
        <w:t xml:space="preserve"> e UniCredit chiudono un'operazione di project </w:t>
      </w:r>
      <w:proofErr w:type="spellStart"/>
      <w:r w:rsidRPr="00A65B70">
        <w:rPr>
          <w:rFonts w:ascii="Aptos" w:hAnsi="Aptos"/>
          <w:b/>
          <w:bCs/>
          <w:i/>
          <w:iCs/>
          <w:sz w:val="24"/>
          <w:szCs w:val="24"/>
        </w:rPr>
        <w:t>finance</w:t>
      </w:r>
      <w:proofErr w:type="spellEnd"/>
      <w:r w:rsidRPr="00A65B70">
        <w:rPr>
          <w:rFonts w:ascii="Aptos" w:hAnsi="Aptos"/>
          <w:b/>
          <w:bCs/>
          <w:i/>
          <w:iCs/>
          <w:sz w:val="24"/>
          <w:szCs w:val="24"/>
        </w:rPr>
        <w:t xml:space="preserve"> da oltre 39 milioni di euro per quattro impianti agrivoltaici</w:t>
      </w:r>
    </w:p>
    <w:p w14:paraId="18495F2C" w14:textId="77777777" w:rsidR="00A65B70" w:rsidRPr="00A65B70" w:rsidRDefault="00A65B70" w:rsidP="00A65B70">
      <w:pPr>
        <w:pStyle w:val="Paragrafoelenco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A65B70">
        <w:rPr>
          <w:rFonts w:ascii="Aptos" w:hAnsi="Aptos"/>
          <w:b/>
          <w:bCs/>
          <w:i/>
          <w:iCs/>
        </w:rPr>
        <w:t xml:space="preserve">Il finanziamento sosterrà la realizzazione di quattro impianti per una capacità complessiva di circa 33 MW in Puglia, Calabria e Veneto. </w:t>
      </w:r>
    </w:p>
    <w:p w14:paraId="29A78696" w14:textId="431A326A" w:rsidR="00A65B70" w:rsidRPr="00A65B70" w:rsidRDefault="00A65B70" w:rsidP="00A65B70">
      <w:pPr>
        <w:pStyle w:val="Paragrafoelenco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A65B70">
        <w:rPr>
          <w:rFonts w:ascii="Aptos" w:hAnsi="Aptos"/>
          <w:b/>
          <w:bCs/>
          <w:i/>
          <w:iCs/>
        </w:rPr>
        <w:t xml:space="preserve">L'operazione accompagna il percorso di crescita di </w:t>
      </w:r>
      <w:proofErr w:type="spellStart"/>
      <w:r w:rsidR="0066306C">
        <w:rPr>
          <w:rFonts w:ascii="Aptos" w:hAnsi="Aptos"/>
          <w:b/>
          <w:bCs/>
          <w:i/>
          <w:iCs/>
        </w:rPr>
        <w:t>v</w:t>
      </w:r>
      <w:r w:rsidRPr="00A65B70">
        <w:rPr>
          <w:rFonts w:ascii="Aptos" w:hAnsi="Aptos"/>
          <w:b/>
          <w:bCs/>
          <w:i/>
          <w:iCs/>
        </w:rPr>
        <w:t>exuvo</w:t>
      </w:r>
      <w:proofErr w:type="spellEnd"/>
      <w:r w:rsidRPr="00A65B70">
        <w:rPr>
          <w:rFonts w:ascii="Aptos" w:hAnsi="Aptos"/>
          <w:b/>
          <w:bCs/>
          <w:i/>
          <w:iCs/>
        </w:rPr>
        <w:t xml:space="preserve"> che, in soli tre anni, ha sviluppato una pipeline di circa </w:t>
      </w:r>
      <w:proofErr w:type="gramStart"/>
      <w:r w:rsidRPr="00A65B70">
        <w:rPr>
          <w:rFonts w:ascii="Aptos" w:hAnsi="Aptos"/>
          <w:b/>
          <w:bCs/>
          <w:i/>
          <w:iCs/>
        </w:rPr>
        <w:t>3</w:t>
      </w:r>
      <w:proofErr w:type="gramEnd"/>
      <w:r w:rsidRPr="00A65B70">
        <w:rPr>
          <w:rFonts w:ascii="Aptos" w:hAnsi="Aptos"/>
          <w:b/>
          <w:bCs/>
          <w:i/>
          <w:iCs/>
        </w:rPr>
        <w:t xml:space="preserve"> GW tra progetti agrivoltaici e sistemi di accumulo energetico (BESS).</w:t>
      </w:r>
    </w:p>
    <w:p w14:paraId="1AE2E0C4" w14:textId="1E6FDA63" w:rsidR="00A65B70" w:rsidRPr="00A65B70" w:rsidRDefault="00A65B70" w:rsidP="00A65B70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Roma, </w:t>
      </w:r>
      <w:r w:rsidR="00A052B8">
        <w:rPr>
          <w:rFonts w:ascii="Aptos" w:hAnsi="Aptos"/>
        </w:rPr>
        <w:t>14</w:t>
      </w:r>
      <w:r>
        <w:rPr>
          <w:rFonts w:ascii="Aptos" w:hAnsi="Aptos"/>
        </w:rPr>
        <w:t xml:space="preserve"> luglio 2026 – </w:t>
      </w:r>
      <w:r w:rsidRPr="00E76190">
        <w:rPr>
          <w:rFonts w:ascii="Aptos" w:hAnsi="Aptos"/>
        </w:rPr>
        <w:t>Sostenere la crescita e l’innovazione nel settore delle energie rinnovabili e</w:t>
      </w:r>
      <w:r>
        <w:rPr>
          <w:rFonts w:ascii="Aptos" w:hAnsi="Aptos"/>
        </w:rPr>
        <w:t xml:space="preserve"> </w:t>
      </w:r>
      <w:r w:rsidRPr="00E76190">
        <w:rPr>
          <w:rFonts w:ascii="Aptos" w:hAnsi="Aptos"/>
        </w:rPr>
        <w:t>accelera</w:t>
      </w:r>
      <w:r>
        <w:rPr>
          <w:rFonts w:ascii="Aptos" w:hAnsi="Aptos"/>
        </w:rPr>
        <w:t>re</w:t>
      </w:r>
      <w:r w:rsidRPr="00E76190">
        <w:rPr>
          <w:rFonts w:ascii="Aptos" w:hAnsi="Aptos"/>
        </w:rPr>
        <w:t xml:space="preserve"> sulla transizione energetica</w:t>
      </w:r>
      <w:r>
        <w:rPr>
          <w:rFonts w:ascii="Aptos" w:hAnsi="Aptos"/>
        </w:rPr>
        <w:t xml:space="preserve">, per poter </w:t>
      </w:r>
      <w:r w:rsidRPr="00E76190">
        <w:rPr>
          <w:rFonts w:ascii="Aptos" w:hAnsi="Aptos"/>
        </w:rPr>
        <w:t>contribu</w:t>
      </w:r>
      <w:r>
        <w:rPr>
          <w:rFonts w:ascii="Aptos" w:hAnsi="Aptos"/>
        </w:rPr>
        <w:t xml:space="preserve">ire </w:t>
      </w:r>
      <w:r w:rsidRPr="00E76190">
        <w:rPr>
          <w:rFonts w:ascii="Aptos" w:hAnsi="Aptos"/>
        </w:rPr>
        <w:t>all’indipendenza energetica dell’Italia.</w:t>
      </w:r>
      <w:r>
        <w:rPr>
          <w:rFonts w:ascii="Aptos" w:hAnsi="Aptos"/>
        </w:rPr>
        <w:t xml:space="preserve"> È </w:t>
      </w:r>
      <w:r w:rsidRPr="00E76190">
        <w:rPr>
          <w:rFonts w:ascii="Aptos" w:hAnsi="Aptos"/>
        </w:rPr>
        <w:t>questo l’obiettivo di</w:t>
      </w:r>
      <w:r w:rsidRPr="00BA37B5">
        <w:rPr>
          <w:rFonts w:ascii="Aptos" w:hAnsi="Aptos"/>
          <w:b/>
          <w:bCs/>
        </w:rPr>
        <w:t xml:space="preserve"> </w:t>
      </w:r>
      <w:proofErr w:type="spellStart"/>
      <w:r w:rsidRPr="00BA37B5">
        <w:rPr>
          <w:rFonts w:ascii="Aptos" w:hAnsi="Aptos"/>
          <w:b/>
          <w:bCs/>
        </w:rPr>
        <w:t>vexuvo</w:t>
      </w:r>
      <w:proofErr w:type="spellEnd"/>
      <w:r w:rsidRPr="00E76190">
        <w:rPr>
          <w:rFonts w:ascii="Aptos" w:hAnsi="Aptos"/>
        </w:rPr>
        <w:t>, operatore nazionale attivo nello sviluppo, progettazione, costruzione e gestione di impianti agrivoltaici e di accumulo</w:t>
      </w:r>
      <w:r>
        <w:rPr>
          <w:rFonts w:ascii="Aptos" w:hAnsi="Aptos"/>
        </w:rPr>
        <w:t>, che</w:t>
      </w:r>
      <w:r w:rsidRPr="00A65B70">
        <w:rPr>
          <w:rFonts w:ascii="Aptos" w:hAnsi="Aptos"/>
        </w:rPr>
        <w:t xml:space="preserve"> ha perfezionato con UniCredit un'operazione di project </w:t>
      </w:r>
      <w:proofErr w:type="spellStart"/>
      <w:r w:rsidRPr="00A65B70">
        <w:rPr>
          <w:rFonts w:ascii="Aptos" w:hAnsi="Aptos"/>
        </w:rPr>
        <w:t>finance</w:t>
      </w:r>
      <w:proofErr w:type="spellEnd"/>
      <w:r w:rsidRPr="00A65B70">
        <w:rPr>
          <w:rFonts w:ascii="Aptos" w:hAnsi="Aptos"/>
        </w:rPr>
        <w:t xml:space="preserve"> del valore complessivo di </w:t>
      </w:r>
      <w:r w:rsidRPr="00A65B70">
        <w:rPr>
          <w:rFonts w:ascii="Aptos" w:hAnsi="Aptos"/>
          <w:b/>
          <w:bCs/>
        </w:rPr>
        <w:t>39</w:t>
      </w:r>
      <w:r w:rsidR="002A0773">
        <w:rPr>
          <w:rFonts w:ascii="Aptos" w:hAnsi="Aptos"/>
          <w:b/>
          <w:bCs/>
        </w:rPr>
        <w:t>.</w:t>
      </w:r>
      <w:r w:rsidR="00CA3A59">
        <w:rPr>
          <w:rFonts w:ascii="Aptos" w:hAnsi="Aptos"/>
          <w:b/>
          <w:bCs/>
        </w:rPr>
        <w:t>3</w:t>
      </w:r>
      <w:r w:rsidRPr="00A65B70">
        <w:rPr>
          <w:rFonts w:ascii="Aptos" w:hAnsi="Aptos"/>
          <w:b/>
          <w:bCs/>
        </w:rPr>
        <w:t xml:space="preserve"> milioni di euro</w:t>
      </w:r>
      <w:r w:rsidRPr="00A65B70">
        <w:rPr>
          <w:rFonts w:ascii="Aptos" w:hAnsi="Aptos"/>
        </w:rPr>
        <w:t xml:space="preserve">, finalizzata alla realizzazione di quattro impianti agrivoltaici con una capacità installata complessiva di circa </w:t>
      </w:r>
      <w:r w:rsidRPr="00A65B70">
        <w:rPr>
          <w:rFonts w:ascii="Aptos" w:hAnsi="Aptos"/>
          <w:b/>
          <w:bCs/>
        </w:rPr>
        <w:t>33 MW</w:t>
      </w:r>
      <w:r w:rsidRPr="00A65B70">
        <w:rPr>
          <w:rFonts w:ascii="Aptos" w:hAnsi="Aptos"/>
        </w:rPr>
        <w:t xml:space="preserve">, distribuiti tra </w:t>
      </w:r>
      <w:r w:rsidRPr="00A65B70">
        <w:rPr>
          <w:rFonts w:ascii="Aptos" w:hAnsi="Aptos"/>
          <w:b/>
          <w:bCs/>
        </w:rPr>
        <w:t>Puglia</w:t>
      </w:r>
      <w:r w:rsidRPr="00A65B70">
        <w:rPr>
          <w:rFonts w:ascii="Aptos" w:hAnsi="Aptos"/>
        </w:rPr>
        <w:t xml:space="preserve"> (circa </w:t>
      </w:r>
      <w:r w:rsidRPr="00A65B70">
        <w:rPr>
          <w:rFonts w:ascii="Aptos" w:hAnsi="Aptos"/>
          <w:b/>
          <w:bCs/>
        </w:rPr>
        <w:t>12 MW</w:t>
      </w:r>
      <w:r w:rsidRPr="00A65B70">
        <w:rPr>
          <w:rFonts w:ascii="Aptos" w:hAnsi="Aptos"/>
        </w:rPr>
        <w:t xml:space="preserve">), </w:t>
      </w:r>
      <w:r w:rsidRPr="00A65B70">
        <w:rPr>
          <w:rFonts w:ascii="Aptos" w:hAnsi="Aptos"/>
          <w:b/>
          <w:bCs/>
        </w:rPr>
        <w:t>Calabria</w:t>
      </w:r>
      <w:r w:rsidRPr="00A65B70">
        <w:rPr>
          <w:rFonts w:ascii="Aptos" w:hAnsi="Aptos"/>
        </w:rPr>
        <w:t xml:space="preserve"> (circa </w:t>
      </w:r>
      <w:r w:rsidRPr="00A65B70">
        <w:rPr>
          <w:rFonts w:ascii="Aptos" w:hAnsi="Aptos"/>
          <w:b/>
          <w:bCs/>
        </w:rPr>
        <w:t>9,2 MW</w:t>
      </w:r>
      <w:r w:rsidRPr="00A65B70">
        <w:rPr>
          <w:rFonts w:ascii="Aptos" w:hAnsi="Aptos"/>
        </w:rPr>
        <w:t xml:space="preserve">) e </w:t>
      </w:r>
      <w:r w:rsidRPr="00A65B70">
        <w:rPr>
          <w:rFonts w:ascii="Aptos" w:hAnsi="Aptos"/>
          <w:b/>
          <w:bCs/>
        </w:rPr>
        <w:t>Veneto</w:t>
      </w:r>
      <w:r w:rsidRPr="00A65B70">
        <w:rPr>
          <w:rFonts w:ascii="Aptos" w:hAnsi="Aptos"/>
        </w:rPr>
        <w:t xml:space="preserve"> (circa </w:t>
      </w:r>
      <w:r w:rsidRPr="00A65B70">
        <w:rPr>
          <w:rFonts w:ascii="Aptos" w:hAnsi="Aptos"/>
          <w:b/>
          <w:bCs/>
        </w:rPr>
        <w:t>11,8 MW</w:t>
      </w:r>
      <w:r w:rsidRPr="00A65B70">
        <w:rPr>
          <w:rFonts w:ascii="Aptos" w:hAnsi="Aptos"/>
        </w:rPr>
        <w:t>).</w:t>
      </w:r>
    </w:p>
    <w:p w14:paraId="0CD5827E" w14:textId="77777777" w:rsidR="00A65B70" w:rsidRPr="00A65B70" w:rsidRDefault="00A65B70" w:rsidP="00A65B70">
      <w:pPr>
        <w:jc w:val="both"/>
        <w:rPr>
          <w:rFonts w:ascii="Aptos" w:hAnsi="Aptos"/>
        </w:rPr>
      </w:pPr>
      <w:r w:rsidRPr="00A65B70">
        <w:rPr>
          <w:rFonts w:ascii="Aptos" w:hAnsi="Aptos"/>
        </w:rPr>
        <w:t>L'operazione rappresenta un passaggio strategico nel percorso di crescita della società e consentirà di accelerare la realizzazione di nuovi impianti in grado di coniugare la produzione di energia da fonti rinnovabili con la continuità dell'attività agricola, contribuendo alla transizione energetica e allo sviluppo sostenibile dei territori.</w:t>
      </w:r>
    </w:p>
    <w:p w14:paraId="75FBD398" w14:textId="25A96EB3" w:rsidR="00A65B70" w:rsidRPr="00A65B70" w:rsidRDefault="00A65B70" w:rsidP="00A65B70">
      <w:pPr>
        <w:jc w:val="both"/>
        <w:rPr>
          <w:rFonts w:ascii="Aptos" w:hAnsi="Aptos"/>
        </w:rPr>
      </w:pPr>
      <w:r w:rsidRPr="00A65B70">
        <w:rPr>
          <w:rFonts w:ascii="Aptos" w:hAnsi="Aptos"/>
        </w:rPr>
        <w:t>«</w:t>
      </w:r>
      <w:r w:rsidRPr="00A65B70">
        <w:rPr>
          <w:rFonts w:ascii="Aptos" w:hAnsi="Aptos"/>
          <w:i/>
          <w:iCs/>
        </w:rPr>
        <w:t xml:space="preserve">Questa operazione rappresenta un traguardo strategico per </w:t>
      </w:r>
      <w:proofErr w:type="spellStart"/>
      <w:r>
        <w:rPr>
          <w:rFonts w:ascii="Aptos" w:hAnsi="Aptos"/>
          <w:i/>
          <w:iCs/>
        </w:rPr>
        <w:t>v</w:t>
      </w:r>
      <w:r w:rsidRPr="00A65B70">
        <w:rPr>
          <w:rFonts w:ascii="Aptos" w:hAnsi="Aptos"/>
          <w:i/>
          <w:iCs/>
        </w:rPr>
        <w:t>exuvo</w:t>
      </w:r>
      <w:proofErr w:type="spellEnd"/>
      <w:r w:rsidRPr="00A65B70">
        <w:rPr>
          <w:rFonts w:ascii="Aptos" w:hAnsi="Aptos"/>
          <w:i/>
          <w:iCs/>
        </w:rPr>
        <w:t xml:space="preserve"> e conferma la fiducia che il sistema finanziario ripone nella qualità della nostra pipeline e nella capacità di trasformare i progetti in infrastrutture concrete</w:t>
      </w:r>
      <w:r w:rsidRPr="00A65B70">
        <w:rPr>
          <w:rFonts w:ascii="Aptos" w:hAnsi="Aptos"/>
        </w:rPr>
        <w:t xml:space="preserve">», dichiara </w:t>
      </w:r>
      <w:r w:rsidRPr="00A65B70">
        <w:rPr>
          <w:rFonts w:ascii="Aptos" w:hAnsi="Aptos"/>
          <w:b/>
          <w:bCs/>
        </w:rPr>
        <w:t xml:space="preserve">Andrea Cristini, CEO e Co-Founder di </w:t>
      </w:r>
      <w:proofErr w:type="spellStart"/>
      <w:r>
        <w:rPr>
          <w:rFonts w:ascii="Aptos" w:hAnsi="Aptos"/>
          <w:b/>
          <w:bCs/>
        </w:rPr>
        <w:t>v</w:t>
      </w:r>
      <w:r w:rsidRPr="00A65B70">
        <w:rPr>
          <w:rFonts w:ascii="Aptos" w:hAnsi="Aptos"/>
          <w:b/>
          <w:bCs/>
        </w:rPr>
        <w:t>exuvo</w:t>
      </w:r>
      <w:proofErr w:type="spellEnd"/>
      <w:r w:rsidRPr="00A65B70">
        <w:rPr>
          <w:rFonts w:ascii="Aptos" w:hAnsi="Aptos"/>
        </w:rPr>
        <w:t>. «</w:t>
      </w:r>
      <w:r w:rsidRPr="00A65B70">
        <w:rPr>
          <w:rFonts w:ascii="Aptos" w:hAnsi="Aptos"/>
          <w:i/>
          <w:iCs/>
        </w:rPr>
        <w:t xml:space="preserve">Grazie al supporto di UniCredit acceleriamo la realizzazione di quattro nuovi impianti agrivoltaici che contribuiranno non solo ad aumentare la produzione di energia rinnovabile, ma anche a generare valore duraturo per i territori. Crediamo che la transizione energetica debba tradursi in un'opportunità concreta di sviluppo per le comunità locali, creando infrastrutture che convivono con l'attività agricola, attraggono investimenti e producono benefici ambientali, economici e sociali. È questa la visione che guida la crescita di </w:t>
      </w:r>
      <w:proofErr w:type="spellStart"/>
      <w:r>
        <w:rPr>
          <w:rFonts w:ascii="Aptos" w:hAnsi="Aptos"/>
          <w:i/>
          <w:iCs/>
        </w:rPr>
        <w:t>v</w:t>
      </w:r>
      <w:r w:rsidRPr="00A65B70">
        <w:rPr>
          <w:rFonts w:ascii="Aptos" w:hAnsi="Aptos"/>
          <w:i/>
          <w:iCs/>
        </w:rPr>
        <w:t>exuvo</w:t>
      </w:r>
      <w:proofErr w:type="spellEnd"/>
      <w:r w:rsidRPr="00A65B70">
        <w:rPr>
          <w:rFonts w:ascii="Aptos" w:hAnsi="Aptos"/>
          <w:i/>
          <w:iCs/>
        </w:rPr>
        <w:t xml:space="preserve"> e che continuerà a orientare il nostro piano di sviluppo nei prossimi anni</w:t>
      </w:r>
      <w:r w:rsidRPr="00A65B70">
        <w:rPr>
          <w:rFonts w:ascii="Aptos" w:hAnsi="Aptos"/>
        </w:rPr>
        <w:t>.»</w:t>
      </w:r>
    </w:p>
    <w:p w14:paraId="3D4083C8" w14:textId="17CC9A6B" w:rsidR="00A65B70" w:rsidRPr="00A65B70" w:rsidRDefault="00A65B70" w:rsidP="00A65B70">
      <w:pPr>
        <w:jc w:val="both"/>
        <w:rPr>
          <w:rFonts w:ascii="Aptos" w:hAnsi="Aptos"/>
        </w:rPr>
      </w:pPr>
      <w:r w:rsidRPr="00A65B70">
        <w:rPr>
          <w:rFonts w:ascii="Aptos" w:hAnsi="Aptos"/>
        </w:rPr>
        <w:t xml:space="preserve">L'operazione si inserisce in un percorso di crescita che, in soli tre anni di attività, ha portato </w:t>
      </w:r>
      <w:proofErr w:type="spellStart"/>
      <w:r>
        <w:rPr>
          <w:rFonts w:ascii="Aptos" w:hAnsi="Aptos"/>
        </w:rPr>
        <w:t>v</w:t>
      </w:r>
      <w:r w:rsidRPr="00A65B70">
        <w:rPr>
          <w:rFonts w:ascii="Aptos" w:hAnsi="Aptos"/>
        </w:rPr>
        <w:t>exuvo</w:t>
      </w:r>
      <w:proofErr w:type="spellEnd"/>
      <w:r w:rsidRPr="00A65B70">
        <w:rPr>
          <w:rFonts w:ascii="Aptos" w:hAnsi="Aptos"/>
        </w:rPr>
        <w:t xml:space="preserve"> a costruire una pipeline di circa </w:t>
      </w:r>
      <w:r w:rsidRPr="00A65B70">
        <w:rPr>
          <w:rFonts w:ascii="Aptos" w:hAnsi="Aptos"/>
          <w:b/>
          <w:bCs/>
        </w:rPr>
        <w:t>3 GW</w:t>
      </w:r>
      <w:r w:rsidRPr="00A65B70">
        <w:rPr>
          <w:rFonts w:ascii="Aptos" w:hAnsi="Aptos"/>
        </w:rPr>
        <w:t xml:space="preserve">, composta da oltre </w:t>
      </w:r>
      <w:r w:rsidRPr="00A65B70">
        <w:rPr>
          <w:rFonts w:ascii="Aptos" w:hAnsi="Aptos"/>
          <w:b/>
          <w:bCs/>
        </w:rPr>
        <w:t>800 MW di progetti agrivoltaici</w:t>
      </w:r>
      <w:r w:rsidRPr="00A65B70">
        <w:rPr>
          <w:rFonts w:ascii="Aptos" w:hAnsi="Aptos"/>
        </w:rPr>
        <w:t xml:space="preserve"> e </w:t>
      </w:r>
      <w:r w:rsidRPr="00A65B70">
        <w:rPr>
          <w:rFonts w:ascii="Aptos" w:hAnsi="Aptos"/>
          <w:b/>
          <w:bCs/>
        </w:rPr>
        <w:t xml:space="preserve">2,2 GW di progetti </w:t>
      </w:r>
      <w:proofErr w:type="spellStart"/>
      <w:r w:rsidRPr="00A65B70">
        <w:rPr>
          <w:rFonts w:ascii="Aptos" w:hAnsi="Aptos"/>
          <w:b/>
          <w:bCs/>
        </w:rPr>
        <w:t>Battery</w:t>
      </w:r>
      <w:proofErr w:type="spellEnd"/>
      <w:r w:rsidRPr="00A65B70">
        <w:rPr>
          <w:rFonts w:ascii="Aptos" w:hAnsi="Aptos"/>
          <w:b/>
          <w:bCs/>
        </w:rPr>
        <w:t xml:space="preserve"> Energy Storage System (BESS)</w:t>
      </w:r>
      <w:r w:rsidRPr="00A65B70">
        <w:rPr>
          <w:rFonts w:ascii="Aptos" w:hAnsi="Aptos"/>
        </w:rPr>
        <w:t>, affermandosi tra gli operatori più dinamici nel settore della transizione energetica.</w:t>
      </w:r>
      <w:r>
        <w:rPr>
          <w:rFonts w:ascii="Aptos" w:hAnsi="Aptos"/>
        </w:rPr>
        <w:t xml:space="preserve"> </w:t>
      </w:r>
      <w:r w:rsidRPr="00A65B70">
        <w:rPr>
          <w:rFonts w:ascii="Aptos" w:hAnsi="Aptos"/>
        </w:rPr>
        <w:t xml:space="preserve">Il </w:t>
      </w:r>
      <w:r w:rsidRPr="00A65B70">
        <w:rPr>
          <w:rFonts w:ascii="Aptos" w:hAnsi="Aptos"/>
          <w:b/>
          <w:bCs/>
        </w:rPr>
        <w:t>2025</w:t>
      </w:r>
      <w:r w:rsidRPr="00A65B70">
        <w:rPr>
          <w:rFonts w:ascii="Aptos" w:hAnsi="Aptos"/>
        </w:rPr>
        <w:t xml:space="preserve"> ha rappresentato un anno di forte consolidamento del piano industriale della società. </w:t>
      </w:r>
      <w:proofErr w:type="spellStart"/>
      <w:r w:rsidR="00C473DE">
        <w:rPr>
          <w:rFonts w:ascii="Aptos" w:hAnsi="Aptos"/>
        </w:rPr>
        <w:t>v</w:t>
      </w:r>
      <w:r w:rsidRPr="00A65B70">
        <w:rPr>
          <w:rFonts w:ascii="Aptos" w:hAnsi="Aptos"/>
        </w:rPr>
        <w:t>exuvo</w:t>
      </w:r>
      <w:proofErr w:type="spellEnd"/>
      <w:r w:rsidRPr="00A65B70">
        <w:rPr>
          <w:rFonts w:ascii="Aptos" w:hAnsi="Aptos"/>
        </w:rPr>
        <w:t xml:space="preserve"> ha perfezionato un accordo con un primario operatore internazionale per la cessione di </w:t>
      </w:r>
      <w:r w:rsidRPr="00A65B70">
        <w:rPr>
          <w:rFonts w:ascii="Aptos" w:hAnsi="Aptos"/>
          <w:b/>
          <w:bCs/>
        </w:rPr>
        <w:t>1,5 GW di progetti di storage</w:t>
      </w:r>
      <w:r w:rsidRPr="00A65B70">
        <w:rPr>
          <w:rFonts w:ascii="Aptos" w:hAnsi="Aptos"/>
        </w:rPr>
        <w:t xml:space="preserve">, di cui </w:t>
      </w:r>
      <w:r w:rsidRPr="00A65B70">
        <w:rPr>
          <w:rFonts w:ascii="Aptos" w:hAnsi="Aptos"/>
          <w:b/>
          <w:bCs/>
        </w:rPr>
        <w:t>364 MW già autorizzati</w:t>
      </w:r>
      <w:r w:rsidRPr="00A65B70">
        <w:rPr>
          <w:rFonts w:ascii="Aptos" w:hAnsi="Aptos"/>
        </w:rPr>
        <w:t xml:space="preserve">, e ha registrato un significativo avanzamento della propria pipeline agrivoltaica, ottenendo l'autorizzazione per circa </w:t>
      </w:r>
      <w:r w:rsidR="00935749">
        <w:rPr>
          <w:rFonts w:ascii="Aptos" w:hAnsi="Aptos"/>
        </w:rPr>
        <w:t xml:space="preserve">           </w:t>
      </w:r>
      <w:r w:rsidRPr="00A65B70">
        <w:rPr>
          <w:rFonts w:ascii="Aptos" w:hAnsi="Aptos"/>
          <w:b/>
          <w:bCs/>
        </w:rPr>
        <w:t>100 MW</w:t>
      </w:r>
      <w:r w:rsidRPr="00A65B70">
        <w:rPr>
          <w:rFonts w:ascii="Aptos" w:hAnsi="Aptos"/>
        </w:rPr>
        <w:t xml:space="preserve"> di nuovi impianti</w:t>
      </w:r>
      <w:r w:rsidR="00935749">
        <w:rPr>
          <w:rFonts w:ascii="Aptos" w:hAnsi="Aptos"/>
        </w:rPr>
        <w:t xml:space="preserve">, </w:t>
      </w:r>
      <w:r w:rsidR="00935749" w:rsidRPr="00935749">
        <w:rPr>
          <w:rFonts w:ascii="Aptos" w:hAnsi="Aptos"/>
          <w:b/>
          <w:bCs/>
        </w:rPr>
        <w:t>30 MW</w:t>
      </w:r>
      <w:r w:rsidR="00935749">
        <w:rPr>
          <w:rFonts w:ascii="Aptos" w:hAnsi="Aptos"/>
        </w:rPr>
        <w:t xml:space="preserve"> dei quali attualmente in costruzione.</w:t>
      </w:r>
      <w:r w:rsidRPr="00A65B70">
        <w:rPr>
          <w:rFonts w:ascii="Aptos" w:hAnsi="Aptos"/>
        </w:rPr>
        <w:t xml:space="preserve"> A questi si aggiungono autorizzazioni ambientali per ulteriori </w:t>
      </w:r>
      <w:r w:rsidRPr="00A65B70">
        <w:rPr>
          <w:rFonts w:ascii="Aptos" w:hAnsi="Aptos"/>
          <w:b/>
          <w:bCs/>
        </w:rPr>
        <w:t>190 MW</w:t>
      </w:r>
      <w:r w:rsidR="00351ECE">
        <w:rPr>
          <w:rFonts w:ascii="Aptos" w:hAnsi="Aptos"/>
        </w:rPr>
        <w:t xml:space="preserve">, </w:t>
      </w:r>
      <w:r w:rsidRPr="00A65B70">
        <w:rPr>
          <w:rFonts w:ascii="Aptos" w:hAnsi="Aptos"/>
        </w:rPr>
        <w:t xml:space="preserve">il parere favorevole della Commissione Tecnica del Ministero dell'Ambiente e della Sicurezza Energetica per circa </w:t>
      </w:r>
      <w:r w:rsidR="00935749">
        <w:rPr>
          <w:rFonts w:ascii="Aptos" w:hAnsi="Aptos"/>
          <w:b/>
          <w:bCs/>
        </w:rPr>
        <w:t>140</w:t>
      </w:r>
      <w:r w:rsidRPr="00A65B70">
        <w:rPr>
          <w:rFonts w:ascii="Aptos" w:hAnsi="Aptos"/>
          <w:b/>
          <w:bCs/>
        </w:rPr>
        <w:t xml:space="preserve"> MW</w:t>
      </w:r>
      <w:r w:rsidRPr="00A65B70">
        <w:rPr>
          <w:rFonts w:ascii="Aptos" w:hAnsi="Aptos"/>
        </w:rPr>
        <w:t xml:space="preserve"> di ulteriori progetti</w:t>
      </w:r>
      <w:r w:rsidR="00935749">
        <w:rPr>
          <w:rFonts w:ascii="Aptos" w:hAnsi="Aptos"/>
        </w:rPr>
        <w:t>.</w:t>
      </w:r>
    </w:p>
    <w:p w14:paraId="5C70B06F" w14:textId="5026B684" w:rsidR="00935749" w:rsidRDefault="00A65B70" w:rsidP="00A65B70">
      <w:pPr>
        <w:jc w:val="both"/>
        <w:rPr>
          <w:rFonts w:ascii="Aptos" w:hAnsi="Aptos"/>
        </w:rPr>
      </w:pPr>
      <w:r w:rsidRPr="00A65B70">
        <w:rPr>
          <w:rFonts w:ascii="Aptos" w:hAnsi="Aptos"/>
        </w:rPr>
        <w:t xml:space="preserve">La società è stata inoltre protagonista delle principali procedure competitive del settore, aggiudicandosi </w:t>
      </w:r>
      <w:r w:rsidRPr="00A65B70">
        <w:rPr>
          <w:rFonts w:ascii="Aptos" w:hAnsi="Aptos"/>
          <w:b/>
          <w:bCs/>
        </w:rPr>
        <w:t>64 MW</w:t>
      </w:r>
      <w:r w:rsidRPr="00A65B70">
        <w:rPr>
          <w:rFonts w:ascii="Aptos" w:hAnsi="Aptos"/>
        </w:rPr>
        <w:t xml:space="preserve"> nell'ambito del bando Agrivoltaico Avanzato, </w:t>
      </w:r>
      <w:r w:rsidRPr="00A65B70">
        <w:rPr>
          <w:rFonts w:ascii="Aptos" w:hAnsi="Aptos"/>
          <w:b/>
          <w:bCs/>
        </w:rPr>
        <w:t>14 MW</w:t>
      </w:r>
      <w:r w:rsidRPr="00A65B70">
        <w:rPr>
          <w:rFonts w:ascii="Aptos" w:hAnsi="Aptos"/>
        </w:rPr>
        <w:t xml:space="preserve"> nell'ambito del FER X </w:t>
      </w:r>
    </w:p>
    <w:p w14:paraId="6F0C739C" w14:textId="6B7757D0" w:rsidR="00A65B70" w:rsidRDefault="00A65B70" w:rsidP="00A65B70">
      <w:pPr>
        <w:jc w:val="both"/>
        <w:rPr>
          <w:rFonts w:ascii="Aptos" w:hAnsi="Aptos"/>
        </w:rPr>
      </w:pPr>
      <w:r w:rsidRPr="00A65B70">
        <w:rPr>
          <w:rFonts w:ascii="Aptos" w:hAnsi="Aptos"/>
        </w:rPr>
        <w:lastRenderedPageBreak/>
        <w:t xml:space="preserve">Transitorio e </w:t>
      </w:r>
      <w:r w:rsidRPr="00A65B70">
        <w:rPr>
          <w:rFonts w:ascii="Aptos" w:hAnsi="Aptos"/>
          <w:b/>
          <w:bCs/>
        </w:rPr>
        <w:t>47 MW</w:t>
      </w:r>
      <w:r w:rsidRPr="00A65B70">
        <w:rPr>
          <w:rFonts w:ascii="Aptos" w:hAnsi="Aptos"/>
        </w:rPr>
        <w:t xml:space="preserve"> nell'ambito del FER X NZIA, confermando la competitività della propria piattaforma di sviluppo.</w:t>
      </w:r>
    </w:p>
    <w:p w14:paraId="3DC4BAB9" w14:textId="6B581F87" w:rsidR="00A65B70" w:rsidRDefault="00C473DE" w:rsidP="007760B5">
      <w:pPr>
        <w:jc w:val="both"/>
        <w:rPr>
          <w:rFonts w:ascii="Aptos" w:hAnsi="Aptos"/>
          <w:i/>
          <w:iCs/>
        </w:rPr>
      </w:pPr>
      <w:r w:rsidRPr="00C473DE">
        <w:rPr>
          <w:rFonts w:ascii="Aptos" w:hAnsi="Aptos"/>
        </w:rPr>
        <w:t>«</w:t>
      </w:r>
      <w:r w:rsidRPr="00C473DE">
        <w:rPr>
          <w:rFonts w:ascii="Aptos" w:hAnsi="Aptos"/>
          <w:i/>
          <w:iCs/>
        </w:rPr>
        <w:t>L'elemento distintivo di questa operazione è la qualità del lavoro di progettazione che la sostiene</w:t>
      </w:r>
      <w:r w:rsidRPr="00C473DE">
        <w:rPr>
          <w:rFonts w:ascii="Aptos" w:hAnsi="Aptos"/>
        </w:rPr>
        <w:t xml:space="preserve">», dichiara </w:t>
      </w:r>
      <w:r w:rsidRPr="00C473DE">
        <w:rPr>
          <w:rFonts w:ascii="Aptos" w:hAnsi="Aptos"/>
          <w:b/>
          <w:bCs/>
        </w:rPr>
        <w:t xml:space="preserve">Filippo Fontana, COO di </w:t>
      </w:r>
      <w:proofErr w:type="spellStart"/>
      <w:r w:rsidR="0057652C">
        <w:rPr>
          <w:rFonts w:ascii="Aptos" w:hAnsi="Aptos"/>
          <w:b/>
          <w:bCs/>
        </w:rPr>
        <w:t>v</w:t>
      </w:r>
      <w:r w:rsidRPr="00C473DE">
        <w:rPr>
          <w:rFonts w:ascii="Aptos" w:hAnsi="Aptos"/>
          <w:b/>
          <w:bCs/>
        </w:rPr>
        <w:t>exuvo</w:t>
      </w:r>
      <w:proofErr w:type="spellEnd"/>
      <w:r w:rsidRPr="00C473DE">
        <w:rPr>
          <w:rFonts w:ascii="Aptos" w:hAnsi="Aptos"/>
        </w:rPr>
        <w:t>. «</w:t>
      </w:r>
      <w:r w:rsidRPr="00C473DE">
        <w:rPr>
          <w:rFonts w:ascii="Aptos" w:hAnsi="Aptos"/>
          <w:i/>
          <w:iCs/>
        </w:rPr>
        <w:t xml:space="preserve">Ciascuno dei quattro impianti è stato sviluppato come un progetto unico, con soluzioni tecniche studiate in funzione delle caratteristiche del </w:t>
      </w:r>
      <w:r w:rsidR="006234CB">
        <w:rPr>
          <w:rFonts w:ascii="Aptos" w:hAnsi="Aptos"/>
          <w:i/>
          <w:iCs/>
        </w:rPr>
        <w:t>territorio</w:t>
      </w:r>
      <w:r w:rsidRPr="00C473DE">
        <w:rPr>
          <w:rFonts w:ascii="Aptos" w:hAnsi="Aptos"/>
          <w:i/>
          <w:iCs/>
        </w:rPr>
        <w:t xml:space="preserve">. L'obiettivo non è </w:t>
      </w:r>
      <w:r w:rsidR="006234CB">
        <w:rPr>
          <w:rFonts w:ascii="Aptos" w:hAnsi="Aptos"/>
          <w:i/>
          <w:iCs/>
        </w:rPr>
        <w:t>solo la realizzazione di</w:t>
      </w:r>
      <w:r w:rsidRPr="00C473DE">
        <w:rPr>
          <w:rFonts w:ascii="Aptos" w:hAnsi="Aptos"/>
          <w:i/>
          <w:iCs/>
        </w:rPr>
        <w:t xml:space="preserve"> un impianto di produzione energetica, ma</w:t>
      </w:r>
      <w:r w:rsidR="006234CB">
        <w:rPr>
          <w:rFonts w:ascii="Aptos" w:hAnsi="Aptos"/>
          <w:i/>
          <w:iCs/>
        </w:rPr>
        <w:t xml:space="preserve"> è la progettazione di</w:t>
      </w:r>
      <w:r w:rsidRPr="00C473DE">
        <w:rPr>
          <w:rFonts w:ascii="Aptos" w:hAnsi="Aptos"/>
          <w:i/>
          <w:iCs/>
        </w:rPr>
        <w:t xml:space="preserve"> un'infrastruttura capace di integrarsi con il contesto agricolo, preservandone la produttività e valorizzandone le peculiarità. La fase di costruzione seguirà lo stesso approccio: massima attenzione alla qualità esecutiva, al rispetto delle tempistiche e al dialogo con tutti gli stakeholder coinvolti, affinché ogni progetto rappresenti un esempio concreto di integrazione tra innovazione tecnologica e agricoltura</w:t>
      </w:r>
      <w:r w:rsidRPr="00C473DE">
        <w:rPr>
          <w:rFonts w:ascii="Aptos" w:hAnsi="Aptos"/>
        </w:rPr>
        <w:t>»</w:t>
      </w:r>
    </w:p>
    <w:p w14:paraId="0633CF93" w14:textId="4E1FC714" w:rsidR="006B54CB" w:rsidRPr="006B54CB" w:rsidRDefault="006B54CB" w:rsidP="007760B5">
      <w:pPr>
        <w:jc w:val="both"/>
        <w:rPr>
          <w:rFonts w:ascii="Aptos" w:hAnsi="Aptos"/>
          <w:b/>
          <w:bCs/>
        </w:rPr>
      </w:pPr>
      <w:r w:rsidRPr="006B54CB">
        <w:rPr>
          <w:rFonts w:ascii="Aptos" w:hAnsi="Aptos"/>
          <w:i/>
          <w:iCs/>
        </w:rPr>
        <w:t>"</w:t>
      </w:r>
      <w:r w:rsidR="00666FC6" w:rsidRPr="00666FC6">
        <w:rPr>
          <w:rFonts w:ascii="Aptos" w:hAnsi="Aptos"/>
          <w:i/>
          <w:iCs/>
        </w:rPr>
        <w:t xml:space="preserve">Per UniCredit, accompagnare </w:t>
      </w:r>
      <w:proofErr w:type="spellStart"/>
      <w:r w:rsidR="00666FC6" w:rsidRPr="00666FC6">
        <w:rPr>
          <w:rFonts w:ascii="Aptos" w:hAnsi="Aptos"/>
          <w:i/>
          <w:iCs/>
        </w:rPr>
        <w:t>vexuvo</w:t>
      </w:r>
      <w:proofErr w:type="spellEnd"/>
      <w:r w:rsidR="00666FC6" w:rsidRPr="00666FC6">
        <w:rPr>
          <w:rFonts w:ascii="Aptos" w:hAnsi="Aptos"/>
          <w:i/>
          <w:iCs/>
        </w:rPr>
        <w:t xml:space="preserve"> significa contribuire alla realizzazione di impianti nei quali la generazione di energia rinnovabile non sottrae valore all’agricoltura ma viene progettata per convivere con essa. In Puglia, Calabria e Veneto, dove il potenziale energetico si innesta su filiere agricole rilevanti, questa integrazione può attivare investimenti, competenze e nuove prospettive di sviluppo per le economie locali. Il project </w:t>
      </w:r>
      <w:proofErr w:type="spellStart"/>
      <w:r w:rsidR="00666FC6" w:rsidRPr="00666FC6">
        <w:rPr>
          <w:rFonts w:ascii="Aptos" w:hAnsi="Aptos"/>
          <w:i/>
          <w:iCs/>
        </w:rPr>
        <w:t>finance</w:t>
      </w:r>
      <w:proofErr w:type="spellEnd"/>
      <w:r w:rsidR="00666FC6" w:rsidRPr="00666FC6">
        <w:rPr>
          <w:rFonts w:ascii="Aptos" w:hAnsi="Aptos"/>
          <w:i/>
          <w:iCs/>
        </w:rPr>
        <w:t xml:space="preserve"> è lo strumento più adatto quando dietro la crescita ci sono asset concreti, un impianto progettuale solido e flussi finanziari sostenibili nel tempo” </w:t>
      </w:r>
      <w:r w:rsidRPr="006B54CB">
        <w:rPr>
          <w:rFonts w:ascii="Aptos" w:hAnsi="Aptos"/>
        </w:rPr>
        <w:t xml:space="preserve">dichiara </w:t>
      </w:r>
      <w:r w:rsidRPr="006B54CB">
        <w:rPr>
          <w:rFonts w:ascii="Aptos" w:hAnsi="Aptos"/>
          <w:b/>
          <w:bCs/>
        </w:rPr>
        <w:t>Ferdinando Natali, Regional Manager Sud di UniCredit.</w:t>
      </w:r>
    </w:p>
    <w:p w14:paraId="0EC49EA2" w14:textId="597F5D86" w:rsidR="007760B5" w:rsidRPr="00056FD8" w:rsidRDefault="007760B5" w:rsidP="007760B5">
      <w:pPr>
        <w:jc w:val="both"/>
        <w:rPr>
          <w:rFonts w:ascii="Aptos" w:hAnsi="Aptos"/>
        </w:rPr>
      </w:pPr>
      <w:r w:rsidRPr="00056FD8">
        <w:rPr>
          <w:rFonts w:ascii="Aptos" w:hAnsi="Aptos"/>
        </w:rPr>
        <w:t xml:space="preserve">Con una capacità complessiva di circa </w:t>
      </w:r>
      <w:r w:rsidRPr="00056FD8">
        <w:rPr>
          <w:rFonts w:ascii="Aptos" w:hAnsi="Aptos"/>
          <w:b/>
          <w:bCs/>
        </w:rPr>
        <w:t>33 MW</w:t>
      </w:r>
      <w:r w:rsidRPr="00056FD8">
        <w:rPr>
          <w:rFonts w:ascii="Aptos" w:hAnsi="Aptos"/>
        </w:rPr>
        <w:t xml:space="preserve">, i quattro impianti rafforzeranno il portafoglio di </w:t>
      </w:r>
      <w:proofErr w:type="spellStart"/>
      <w:r w:rsidR="00DB78CC">
        <w:rPr>
          <w:rFonts w:ascii="Aptos" w:hAnsi="Aptos"/>
        </w:rPr>
        <w:t>v</w:t>
      </w:r>
      <w:r w:rsidRPr="00056FD8">
        <w:rPr>
          <w:rFonts w:ascii="Aptos" w:hAnsi="Aptos"/>
        </w:rPr>
        <w:t>exuvo</w:t>
      </w:r>
      <w:proofErr w:type="spellEnd"/>
      <w:r w:rsidRPr="00056FD8">
        <w:rPr>
          <w:rFonts w:ascii="Aptos" w:hAnsi="Aptos"/>
        </w:rPr>
        <w:t xml:space="preserve"> nel settore delle energie rinnovabili e contribuiranno al raggiungimento degli obiettivi di decarbonizzazione, promuovendo un modello di sviluppo che integra produzione energetica e attività agricola.</w:t>
      </w:r>
    </w:p>
    <w:p w14:paraId="5BAE6884" w14:textId="77777777" w:rsidR="0061763B" w:rsidRPr="00E76190" w:rsidRDefault="0061763B" w:rsidP="009913C1">
      <w:pPr>
        <w:jc w:val="both"/>
        <w:rPr>
          <w:rFonts w:ascii="Aptos" w:hAnsi="Aptos"/>
          <w:i/>
          <w:iCs/>
        </w:rPr>
      </w:pPr>
    </w:p>
    <w:p w14:paraId="4CEC854A" w14:textId="77777777" w:rsidR="0057536B" w:rsidRPr="00467509" w:rsidRDefault="0057536B" w:rsidP="00E76190">
      <w:pPr>
        <w:spacing w:after="0" w:line="240" w:lineRule="auto"/>
        <w:jc w:val="both"/>
        <w:rPr>
          <w:b/>
          <w:bCs/>
          <w:u w:val="single"/>
        </w:rPr>
      </w:pPr>
      <w:r w:rsidRPr="00467509">
        <w:rPr>
          <w:b/>
          <w:bCs/>
          <w:u w:val="single"/>
        </w:rPr>
        <w:t>Contatti</w:t>
      </w:r>
      <w:r w:rsidR="00467509">
        <w:rPr>
          <w:b/>
          <w:bCs/>
          <w:u w:val="single"/>
        </w:rPr>
        <w:t xml:space="preserve"> Ufficio Stampa </w:t>
      </w:r>
      <w:proofErr w:type="spellStart"/>
      <w:r w:rsidR="00467509">
        <w:rPr>
          <w:b/>
          <w:bCs/>
          <w:u w:val="single"/>
        </w:rPr>
        <w:t>Vexuvo</w:t>
      </w:r>
      <w:proofErr w:type="spellEnd"/>
    </w:p>
    <w:p w14:paraId="28C252F5" w14:textId="77777777" w:rsidR="00E76190" w:rsidRDefault="00E76190" w:rsidP="00E76190">
      <w:pPr>
        <w:spacing w:after="0" w:line="240" w:lineRule="auto"/>
        <w:jc w:val="both"/>
        <w:rPr>
          <w:u w:val="single"/>
        </w:rPr>
      </w:pPr>
    </w:p>
    <w:p w14:paraId="41F54A22" w14:textId="77777777" w:rsidR="003847EE" w:rsidRPr="0061763B" w:rsidRDefault="003847EE" w:rsidP="003847EE">
      <w:pPr>
        <w:spacing w:after="0" w:line="240" w:lineRule="auto"/>
        <w:jc w:val="both"/>
        <w:rPr>
          <w:b/>
          <w:bCs/>
        </w:rPr>
      </w:pPr>
      <w:r w:rsidRPr="0061763B">
        <w:rPr>
          <w:b/>
          <w:bCs/>
        </w:rPr>
        <w:t>Chiara Acanfora</w:t>
      </w:r>
    </w:p>
    <w:p w14:paraId="7A29DEFA" w14:textId="77777777" w:rsidR="003847EE" w:rsidRPr="003847EE" w:rsidRDefault="003847EE" w:rsidP="003847EE">
      <w:pPr>
        <w:spacing w:after="0" w:line="240" w:lineRule="auto"/>
        <w:jc w:val="both"/>
        <w:rPr>
          <w:lang w:val="en-US"/>
        </w:rPr>
      </w:pPr>
      <w:r w:rsidRPr="003847EE">
        <w:rPr>
          <w:lang w:val="en-US"/>
        </w:rPr>
        <w:t>Head of Communication</w:t>
      </w:r>
      <w:r w:rsidR="00467509">
        <w:rPr>
          <w:lang w:val="en-US"/>
        </w:rPr>
        <w:t xml:space="preserve"> </w:t>
      </w:r>
      <w:proofErr w:type="spellStart"/>
      <w:r w:rsidR="00467509">
        <w:rPr>
          <w:lang w:val="en-US"/>
        </w:rPr>
        <w:t>Vexuvo</w:t>
      </w:r>
      <w:proofErr w:type="spellEnd"/>
    </w:p>
    <w:p w14:paraId="335C1ADA" w14:textId="77777777" w:rsidR="003847EE" w:rsidRPr="003847EE" w:rsidRDefault="003847EE" w:rsidP="003847EE">
      <w:pPr>
        <w:spacing w:after="0" w:line="240" w:lineRule="auto"/>
        <w:jc w:val="both"/>
        <w:rPr>
          <w:lang w:val="en-US"/>
        </w:rPr>
      </w:pPr>
      <w:r w:rsidRPr="003847EE">
        <w:rPr>
          <w:lang w:val="en-US"/>
        </w:rPr>
        <w:t xml:space="preserve">Mob. </w:t>
      </w:r>
      <w:r w:rsidR="00467509" w:rsidRPr="002966E1">
        <w:rPr>
          <w:lang w:val="en-US"/>
        </w:rPr>
        <w:t>327 6470 004</w:t>
      </w:r>
    </w:p>
    <w:p w14:paraId="6F7EE4C0" w14:textId="77777777" w:rsidR="003847EE" w:rsidRDefault="003847EE" w:rsidP="00E76190">
      <w:pPr>
        <w:spacing w:after="0" w:line="240" w:lineRule="auto"/>
        <w:jc w:val="both"/>
        <w:rPr>
          <w:lang w:val="en-US"/>
        </w:rPr>
      </w:pPr>
      <w:r w:rsidRPr="003847EE">
        <w:rPr>
          <w:lang w:val="en-US"/>
        </w:rPr>
        <w:t xml:space="preserve">Email </w:t>
      </w:r>
      <w:hyperlink r:id="rId7" w:tgtFrame="_blank" w:history="1">
        <w:r w:rsidR="00467509" w:rsidRPr="002966E1">
          <w:rPr>
            <w:rStyle w:val="Collegamentoipertestuale"/>
            <w:lang w:val="en-US"/>
          </w:rPr>
          <w:t>chiara.acanfora@vexuvo.com</w:t>
        </w:r>
      </w:hyperlink>
    </w:p>
    <w:p w14:paraId="721A857F" w14:textId="77777777" w:rsidR="00467509" w:rsidRDefault="00467509" w:rsidP="00E76190">
      <w:pPr>
        <w:spacing w:after="0" w:line="240" w:lineRule="auto"/>
        <w:jc w:val="both"/>
        <w:rPr>
          <w:lang w:val="en-US"/>
        </w:rPr>
      </w:pPr>
    </w:p>
    <w:p w14:paraId="7E803AC4" w14:textId="77777777" w:rsidR="00467509" w:rsidRDefault="00467509" w:rsidP="00E76190">
      <w:pPr>
        <w:spacing w:after="0" w:line="240" w:lineRule="auto"/>
        <w:jc w:val="both"/>
        <w:rPr>
          <w:lang w:val="en-US"/>
        </w:rPr>
      </w:pPr>
    </w:p>
    <w:p w14:paraId="185B651F" w14:textId="77777777" w:rsidR="00467509" w:rsidRDefault="00467509" w:rsidP="00E76190">
      <w:pPr>
        <w:spacing w:after="0" w:line="240" w:lineRule="auto"/>
        <w:jc w:val="both"/>
        <w:rPr>
          <w:b/>
          <w:bCs/>
          <w:lang w:val="en-US"/>
        </w:rPr>
      </w:pPr>
      <w:r w:rsidRPr="00467509">
        <w:rPr>
          <w:b/>
          <w:bCs/>
          <w:lang w:val="en-US"/>
        </w:rPr>
        <w:t>Comin</w:t>
      </w:r>
      <w:r w:rsidR="005741F6">
        <w:rPr>
          <w:b/>
          <w:bCs/>
          <w:lang w:val="en-US"/>
        </w:rPr>
        <w:t xml:space="preserve"> </w:t>
      </w:r>
      <w:r w:rsidRPr="00467509">
        <w:rPr>
          <w:b/>
          <w:bCs/>
          <w:lang w:val="en-US"/>
        </w:rPr>
        <w:t>&amp;</w:t>
      </w:r>
      <w:r w:rsidR="005741F6">
        <w:rPr>
          <w:b/>
          <w:bCs/>
          <w:lang w:val="en-US"/>
        </w:rPr>
        <w:t xml:space="preserve"> </w:t>
      </w:r>
      <w:r w:rsidRPr="00467509">
        <w:rPr>
          <w:b/>
          <w:bCs/>
          <w:lang w:val="en-US"/>
        </w:rPr>
        <w:t>Partners</w:t>
      </w:r>
    </w:p>
    <w:p w14:paraId="054309BE" w14:textId="77777777" w:rsidR="005741F6" w:rsidRPr="00467509" w:rsidRDefault="005741F6" w:rsidP="00E76190">
      <w:pPr>
        <w:spacing w:after="0" w:line="240" w:lineRule="auto"/>
        <w:jc w:val="both"/>
        <w:rPr>
          <w:b/>
          <w:bCs/>
          <w:lang w:val="en-US"/>
        </w:rPr>
      </w:pPr>
    </w:p>
    <w:p w14:paraId="77D96954" w14:textId="77777777" w:rsidR="00467509" w:rsidRPr="00D60C3C" w:rsidRDefault="00467509" w:rsidP="00E76190">
      <w:pPr>
        <w:spacing w:after="0" w:line="240" w:lineRule="auto"/>
        <w:jc w:val="both"/>
        <w:rPr>
          <w:lang w:val="en-US"/>
        </w:rPr>
      </w:pPr>
      <w:r w:rsidRPr="00467509">
        <w:rPr>
          <w:b/>
          <w:bCs/>
          <w:lang w:val="en-US"/>
        </w:rPr>
        <w:t>Matilde Goracci</w:t>
      </w:r>
      <w:r w:rsidR="00BA37B5">
        <w:rPr>
          <w:b/>
          <w:bCs/>
          <w:lang w:val="en-US"/>
        </w:rPr>
        <w:t xml:space="preserve"> |</w:t>
      </w:r>
      <w:r>
        <w:rPr>
          <w:lang w:val="en-US"/>
        </w:rPr>
        <w:t>Email:</w:t>
      </w:r>
      <w:hyperlink r:id="rId8" w:history="1">
        <w:r w:rsidRPr="001A547B">
          <w:rPr>
            <w:rStyle w:val="Collegamentoipertestuale"/>
            <w:lang w:val="en-US"/>
          </w:rPr>
          <w:t>Matilde.goracci@cominandpartners.com</w:t>
        </w:r>
      </w:hyperlink>
      <w:r w:rsidR="00BA37B5" w:rsidRPr="0061763B">
        <w:rPr>
          <w:lang w:val="en-US"/>
        </w:rPr>
        <w:t xml:space="preserve"> |</w:t>
      </w:r>
      <w:r>
        <w:rPr>
          <w:lang w:val="en-US"/>
        </w:rPr>
        <w:t>Mob. 3317470565</w:t>
      </w:r>
    </w:p>
    <w:sectPr w:rsidR="00467509" w:rsidRPr="00D60C3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D208" w14:textId="77777777" w:rsidR="00337969" w:rsidRDefault="00337969" w:rsidP="00D21A88">
      <w:pPr>
        <w:spacing w:after="0" w:line="240" w:lineRule="auto"/>
      </w:pPr>
      <w:r>
        <w:separator/>
      </w:r>
    </w:p>
  </w:endnote>
  <w:endnote w:type="continuationSeparator" w:id="0">
    <w:p w14:paraId="4FCD8AEC" w14:textId="77777777" w:rsidR="00337969" w:rsidRDefault="00337969" w:rsidP="00D2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0D1C" w14:textId="77777777" w:rsidR="00337969" w:rsidRDefault="00337969" w:rsidP="00D21A88">
      <w:pPr>
        <w:spacing w:after="0" w:line="240" w:lineRule="auto"/>
      </w:pPr>
      <w:r>
        <w:separator/>
      </w:r>
    </w:p>
  </w:footnote>
  <w:footnote w:type="continuationSeparator" w:id="0">
    <w:p w14:paraId="3674EFD1" w14:textId="77777777" w:rsidR="00337969" w:rsidRDefault="00337969" w:rsidP="00D2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3C8A" w14:textId="77777777" w:rsidR="00D21A88" w:rsidRDefault="00D21A88">
    <w:pPr>
      <w:pStyle w:val="Intestazione"/>
    </w:pPr>
    <w:r>
      <w:rPr>
        <w:rFonts w:ascii="Aptos" w:hAnsi="Aptos"/>
        <w:b/>
        <w:bCs/>
        <w:noProof/>
      </w:rPr>
      <w:drawing>
        <wp:inline distT="0" distB="0" distL="0" distR="0" wp14:anchorId="4E51FA9F" wp14:editId="3A08757C">
          <wp:extent cx="2095500" cy="543799"/>
          <wp:effectExtent l="0" t="0" r="0" b="8890"/>
          <wp:docPr id="48472652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26521" name="Elemento grafico 48472652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61" cy="551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FB351A" w14:textId="77777777" w:rsidR="00D21A88" w:rsidRDefault="00D21A88">
    <w:pPr>
      <w:pStyle w:val="Intestazione"/>
    </w:pPr>
  </w:p>
  <w:p w14:paraId="7F30FE68" w14:textId="77777777" w:rsidR="00651666" w:rsidRDefault="006516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45E"/>
    <w:multiLevelType w:val="multilevel"/>
    <w:tmpl w:val="570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650067"/>
    <w:multiLevelType w:val="hybridMultilevel"/>
    <w:tmpl w:val="1AFA4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21730">
    <w:abstractNumId w:val="1"/>
  </w:num>
  <w:num w:numId="2" w16cid:durableId="138798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A0"/>
    <w:rsid w:val="000043E7"/>
    <w:rsid w:val="00012293"/>
    <w:rsid w:val="00013069"/>
    <w:rsid w:val="00015D53"/>
    <w:rsid w:val="00056FD8"/>
    <w:rsid w:val="000574FD"/>
    <w:rsid w:val="000631AD"/>
    <w:rsid w:val="000661CC"/>
    <w:rsid w:val="00066554"/>
    <w:rsid w:val="000768E8"/>
    <w:rsid w:val="00084B38"/>
    <w:rsid w:val="000A0019"/>
    <w:rsid w:val="000A0F5C"/>
    <w:rsid w:val="000A1F5C"/>
    <w:rsid w:val="000A2F25"/>
    <w:rsid w:val="000C4870"/>
    <w:rsid w:val="000F5AAE"/>
    <w:rsid w:val="000F5C50"/>
    <w:rsid w:val="000F7625"/>
    <w:rsid w:val="00102DF6"/>
    <w:rsid w:val="0011156B"/>
    <w:rsid w:val="00120C14"/>
    <w:rsid w:val="00134F95"/>
    <w:rsid w:val="0014241F"/>
    <w:rsid w:val="00162D3A"/>
    <w:rsid w:val="00172F0D"/>
    <w:rsid w:val="001B157D"/>
    <w:rsid w:val="001C2241"/>
    <w:rsid w:val="001F5956"/>
    <w:rsid w:val="00211E4F"/>
    <w:rsid w:val="00216DFB"/>
    <w:rsid w:val="00235800"/>
    <w:rsid w:val="00236694"/>
    <w:rsid w:val="0023684F"/>
    <w:rsid w:val="00240F39"/>
    <w:rsid w:val="00244377"/>
    <w:rsid w:val="00246529"/>
    <w:rsid w:val="00247D53"/>
    <w:rsid w:val="00256682"/>
    <w:rsid w:val="0026689F"/>
    <w:rsid w:val="00271729"/>
    <w:rsid w:val="00273A60"/>
    <w:rsid w:val="002802BF"/>
    <w:rsid w:val="0028186A"/>
    <w:rsid w:val="00285A49"/>
    <w:rsid w:val="002966E1"/>
    <w:rsid w:val="002A016B"/>
    <w:rsid w:val="002A0773"/>
    <w:rsid w:val="002B7DF4"/>
    <w:rsid w:val="002C60FF"/>
    <w:rsid w:val="002C6415"/>
    <w:rsid w:val="002D1FCA"/>
    <w:rsid w:val="002D4FCB"/>
    <w:rsid w:val="002E11EA"/>
    <w:rsid w:val="002E26BE"/>
    <w:rsid w:val="002F6702"/>
    <w:rsid w:val="003110BE"/>
    <w:rsid w:val="00321DCA"/>
    <w:rsid w:val="003236C5"/>
    <w:rsid w:val="00337969"/>
    <w:rsid w:val="00341D15"/>
    <w:rsid w:val="00346C5C"/>
    <w:rsid w:val="00350C15"/>
    <w:rsid w:val="00351ECE"/>
    <w:rsid w:val="003571C8"/>
    <w:rsid w:val="00364D0E"/>
    <w:rsid w:val="00365FA0"/>
    <w:rsid w:val="003847EE"/>
    <w:rsid w:val="00391CB9"/>
    <w:rsid w:val="003C3AAB"/>
    <w:rsid w:val="003C5B5E"/>
    <w:rsid w:val="003C5EC2"/>
    <w:rsid w:val="003D6755"/>
    <w:rsid w:val="003F07CA"/>
    <w:rsid w:val="003F1992"/>
    <w:rsid w:val="0040770E"/>
    <w:rsid w:val="00417B00"/>
    <w:rsid w:val="00423048"/>
    <w:rsid w:val="004275EB"/>
    <w:rsid w:val="0043295F"/>
    <w:rsid w:val="00442583"/>
    <w:rsid w:val="00465CA1"/>
    <w:rsid w:val="00467509"/>
    <w:rsid w:val="00477F8E"/>
    <w:rsid w:val="00491B9A"/>
    <w:rsid w:val="004A0D6B"/>
    <w:rsid w:val="004B7223"/>
    <w:rsid w:val="004C3BC8"/>
    <w:rsid w:val="004C7973"/>
    <w:rsid w:val="004D02A5"/>
    <w:rsid w:val="004D54D9"/>
    <w:rsid w:val="004D5E35"/>
    <w:rsid w:val="004D6D22"/>
    <w:rsid w:val="004E736B"/>
    <w:rsid w:val="005065C3"/>
    <w:rsid w:val="005108AF"/>
    <w:rsid w:val="00512041"/>
    <w:rsid w:val="005157FB"/>
    <w:rsid w:val="00521D46"/>
    <w:rsid w:val="005445D6"/>
    <w:rsid w:val="00546DB6"/>
    <w:rsid w:val="0054742F"/>
    <w:rsid w:val="0055791B"/>
    <w:rsid w:val="005741F6"/>
    <w:rsid w:val="0057536B"/>
    <w:rsid w:val="0057652C"/>
    <w:rsid w:val="0058185A"/>
    <w:rsid w:val="005862FA"/>
    <w:rsid w:val="005A0CE3"/>
    <w:rsid w:val="005A4612"/>
    <w:rsid w:val="005B0B8B"/>
    <w:rsid w:val="005B75AD"/>
    <w:rsid w:val="005C3698"/>
    <w:rsid w:val="005F130F"/>
    <w:rsid w:val="006005DE"/>
    <w:rsid w:val="00604982"/>
    <w:rsid w:val="00607552"/>
    <w:rsid w:val="00613BB5"/>
    <w:rsid w:val="0061763B"/>
    <w:rsid w:val="00617727"/>
    <w:rsid w:val="006234CB"/>
    <w:rsid w:val="006248D1"/>
    <w:rsid w:val="006413A2"/>
    <w:rsid w:val="0064653B"/>
    <w:rsid w:val="00651666"/>
    <w:rsid w:val="0066306C"/>
    <w:rsid w:val="00666FC6"/>
    <w:rsid w:val="006870BE"/>
    <w:rsid w:val="006A4DDF"/>
    <w:rsid w:val="006B54CB"/>
    <w:rsid w:val="006C41EE"/>
    <w:rsid w:val="006C480A"/>
    <w:rsid w:val="006C4D39"/>
    <w:rsid w:val="006E00DA"/>
    <w:rsid w:val="006E244D"/>
    <w:rsid w:val="006F14D1"/>
    <w:rsid w:val="00700148"/>
    <w:rsid w:val="00700432"/>
    <w:rsid w:val="00711DB6"/>
    <w:rsid w:val="00720EE1"/>
    <w:rsid w:val="00724BA6"/>
    <w:rsid w:val="00732A19"/>
    <w:rsid w:val="00733108"/>
    <w:rsid w:val="00737304"/>
    <w:rsid w:val="007534E8"/>
    <w:rsid w:val="00765901"/>
    <w:rsid w:val="007662A9"/>
    <w:rsid w:val="007733D2"/>
    <w:rsid w:val="00775641"/>
    <w:rsid w:val="007760B5"/>
    <w:rsid w:val="00781822"/>
    <w:rsid w:val="00781A62"/>
    <w:rsid w:val="00785873"/>
    <w:rsid w:val="0079606A"/>
    <w:rsid w:val="0079665D"/>
    <w:rsid w:val="007970E9"/>
    <w:rsid w:val="007B764C"/>
    <w:rsid w:val="007C039A"/>
    <w:rsid w:val="007C03F3"/>
    <w:rsid w:val="007E284C"/>
    <w:rsid w:val="007E5562"/>
    <w:rsid w:val="00814AE4"/>
    <w:rsid w:val="008163B4"/>
    <w:rsid w:val="008423C3"/>
    <w:rsid w:val="00852998"/>
    <w:rsid w:val="0086103E"/>
    <w:rsid w:val="0086627E"/>
    <w:rsid w:val="008B0102"/>
    <w:rsid w:val="008C7C6A"/>
    <w:rsid w:val="008D530D"/>
    <w:rsid w:val="008D537C"/>
    <w:rsid w:val="008E7D07"/>
    <w:rsid w:val="008F0759"/>
    <w:rsid w:val="00903CE4"/>
    <w:rsid w:val="00906C54"/>
    <w:rsid w:val="00910D6C"/>
    <w:rsid w:val="00935749"/>
    <w:rsid w:val="0094275B"/>
    <w:rsid w:val="009553D5"/>
    <w:rsid w:val="0097798C"/>
    <w:rsid w:val="009913C1"/>
    <w:rsid w:val="00991ED5"/>
    <w:rsid w:val="009C40E0"/>
    <w:rsid w:val="009C55E0"/>
    <w:rsid w:val="009D2864"/>
    <w:rsid w:val="00A0253B"/>
    <w:rsid w:val="00A027B1"/>
    <w:rsid w:val="00A04773"/>
    <w:rsid w:val="00A052B8"/>
    <w:rsid w:val="00A12546"/>
    <w:rsid w:val="00A12FED"/>
    <w:rsid w:val="00A15F47"/>
    <w:rsid w:val="00A2606A"/>
    <w:rsid w:val="00A43D42"/>
    <w:rsid w:val="00A51740"/>
    <w:rsid w:val="00A5341B"/>
    <w:rsid w:val="00A65B70"/>
    <w:rsid w:val="00A70AC4"/>
    <w:rsid w:val="00A70B44"/>
    <w:rsid w:val="00A7391D"/>
    <w:rsid w:val="00A82C1D"/>
    <w:rsid w:val="00A90916"/>
    <w:rsid w:val="00A926D1"/>
    <w:rsid w:val="00A953E9"/>
    <w:rsid w:val="00AA4AF8"/>
    <w:rsid w:val="00AB53D0"/>
    <w:rsid w:val="00AB751B"/>
    <w:rsid w:val="00AB7B56"/>
    <w:rsid w:val="00AC29F1"/>
    <w:rsid w:val="00AC4FB1"/>
    <w:rsid w:val="00AD3051"/>
    <w:rsid w:val="00AE4E75"/>
    <w:rsid w:val="00AE686C"/>
    <w:rsid w:val="00AF1DA5"/>
    <w:rsid w:val="00AF2AB3"/>
    <w:rsid w:val="00B049E2"/>
    <w:rsid w:val="00B05BCC"/>
    <w:rsid w:val="00B07316"/>
    <w:rsid w:val="00B25BCE"/>
    <w:rsid w:val="00B36EBB"/>
    <w:rsid w:val="00B47EF9"/>
    <w:rsid w:val="00B85107"/>
    <w:rsid w:val="00B95C5D"/>
    <w:rsid w:val="00B97B39"/>
    <w:rsid w:val="00BA37B5"/>
    <w:rsid w:val="00BB42C9"/>
    <w:rsid w:val="00BB7836"/>
    <w:rsid w:val="00BC0A39"/>
    <w:rsid w:val="00BE6123"/>
    <w:rsid w:val="00BE7C6A"/>
    <w:rsid w:val="00BF6547"/>
    <w:rsid w:val="00C11A31"/>
    <w:rsid w:val="00C22FA3"/>
    <w:rsid w:val="00C2456C"/>
    <w:rsid w:val="00C301C1"/>
    <w:rsid w:val="00C3319F"/>
    <w:rsid w:val="00C402BB"/>
    <w:rsid w:val="00C473DE"/>
    <w:rsid w:val="00C47D88"/>
    <w:rsid w:val="00C64D51"/>
    <w:rsid w:val="00C83A42"/>
    <w:rsid w:val="00C858F2"/>
    <w:rsid w:val="00C9001E"/>
    <w:rsid w:val="00C94FB2"/>
    <w:rsid w:val="00CA3A59"/>
    <w:rsid w:val="00CB389B"/>
    <w:rsid w:val="00CC2409"/>
    <w:rsid w:val="00CD7094"/>
    <w:rsid w:val="00D057D0"/>
    <w:rsid w:val="00D142D2"/>
    <w:rsid w:val="00D144DC"/>
    <w:rsid w:val="00D178C2"/>
    <w:rsid w:val="00D21A88"/>
    <w:rsid w:val="00D33135"/>
    <w:rsid w:val="00D51902"/>
    <w:rsid w:val="00D53EC3"/>
    <w:rsid w:val="00D56DF4"/>
    <w:rsid w:val="00D60C3C"/>
    <w:rsid w:val="00D63BBB"/>
    <w:rsid w:val="00D675B2"/>
    <w:rsid w:val="00D71DE8"/>
    <w:rsid w:val="00D75041"/>
    <w:rsid w:val="00D8407B"/>
    <w:rsid w:val="00D93D31"/>
    <w:rsid w:val="00DA4E43"/>
    <w:rsid w:val="00DB78CC"/>
    <w:rsid w:val="00DC13A0"/>
    <w:rsid w:val="00DC2D06"/>
    <w:rsid w:val="00DD57B4"/>
    <w:rsid w:val="00DE1D30"/>
    <w:rsid w:val="00DE79AE"/>
    <w:rsid w:val="00DF74BA"/>
    <w:rsid w:val="00E036DF"/>
    <w:rsid w:val="00E06DA4"/>
    <w:rsid w:val="00E32627"/>
    <w:rsid w:val="00E34772"/>
    <w:rsid w:val="00E36D8D"/>
    <w:rsid w:val="00E4000E"/>
    <w:rsid w:val="00E42B75"/>
    <w:rsid w:val="00E53E18"/>
    <w:rsid w:val="00E6018E"/>
    <w:rsid w:val="00E67B97"/>
    <w:rsid w:val="00E76190"/>
    <w:rsid w:val="00E85B57"/>
    <w:rsid w:val="00E95545"/>
    <w:rsid w:val="00E97DFB"/>
    <w:rsid w:val="00EA7291"/>
    <w:rsid w:val="00EB3BEB"/>
    <w:rsid w:val="00ED162D"/>
    <w:rsid w:val="00EE04F2"/>
    <w:rsid w:val="00EF092B"/>
    <w:rsid w:val="00F059BC"/>
    <w:rsid w:val="00F16034"/>
    <w:rsid w:val="00F2416F"/>
    <w:rsid w:val="00F25D2D"/>
    <w:rsid w:val="00F6454D"/>
    <w:rsid w:val="00F7423E"/>
    <w:rsid w:val="00F82156"/>
    <w:rsid w:val="00FA5730"/>
    <w:rsid w:val="00FA5F07"/>
    <w:rsid w:val="00FB6603"/>
    <w:rsid w:val="00FC5463"/>
    <w:rsid w:val="00FD2026"/>
    <w:rsid w:val="00FF03FA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52D4"/>
  <w15:chartTrackingRefBased/>
  <w15:docId w15:val="{1525EFFA-4231-4C57-B087-FCAC8700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6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e">
    <w:name w:val="Revision"/>
    <w:hidden/>
    <w:uiPriority w:val="99"/>
    <w:semiHidden/>
    <w:rsid w:val="00AA4A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73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91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2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A88"/>
  </w:style>
  <w:style w:type="paragraph" w:styleId="Pidipagina">
    <w:name w:val="footer"/>
    <w:basedOn w:val="Normale"/>
    <w:link w:val="PidipaginaCarattere"/>
    <w:uiPriority w:val="99"/>
    <w:unhideWhenUsed/>
    <w:rsid w:val="00D2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A88"/>
  </w:style>
  <w:style w:type="character" w:customStyle="1" w:styleId="apple-converted-space">
    <w:name w:val="apple-converted-space"/>
    <w:basedOn w:val="Carpredefinitoparagrafo"/>
    <w:rsid w:val="00D75041"/>
  </w:style>
  <w:style w:type="paragraph" w:styleId="Paragrafoelenco">
    <w:name w:val="List Paragraph"/>
    <w:basedOn w:val="Normale"/>
    <w:uiPriority w:val="34"/>
    <w:qFormat/>
    <w:rsid w:val="00A65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.goracci@cominandpartn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ara.acanfora@vexuv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ilde.goracci_comi\Downloads\20260410_CS%20bond%20vexuvo%20BPS_finale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C:\Users\matilde.goracci_comi\Downloads\20260410_CS bond vexuvo BPS_finale (1).dotx</Template>
  <TotalTime>2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Goracci</dc:creator>
  <cp:keywords/>
  <dc:description/>
  <cp:lastModifiedBy>Chiara Acanfora</cp:lastModifiedBy>
  <cp:revision>2</cp:revision>
  <dcterms:created xsi:type="dcterms:W3CDTF">2026-07-13T10:21:00Z</dcterms:created>
  <dcterms:modified xsi:type="dcterms:W3CDTF">2026-07-13T10:21:00Z</dcterms:modified>
</cp:coreProperties>
</file>